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D924" w14:textId="77777777" w:rsidR="006239C0" w:rsidRDefault="00037F8B" w:rsidP="00037F8B">
      <w:pPr>
        <w:jc w:val="center"/>
        <w:rPr>
          <w:b/>
        </w:rPr>
      </w:pPr>
      <w:r w:rsidRPr="00037F8B">
        <w:rPr>
          <w:b/>
        </w:rPr>
        <w:t>Instructions for Authors</w:t>
      </w:r>
    </w:p>
    <w:p w14:paraId="42AB4C89" w14:textId="77777777" w:rsidR="006A0F4C" w:rsidRDefault="006A0F4C" w:rsidP="00037F8B">
      <w:pPr>
        <w:jc w:val="center"/>
        <w:rPr>
          <w:b/>
        </w:rPr>
      </w:pPr>
    </w:p>
    <w:p w14:paraId="750A618A" w14:textId="77777777" w:rsidR="00C040AD" w:rsidRDefault="00C040AD" w:rsidP="00037F8B">
      <w:pPr>
        <w:rPr>
          <w:b/>
        </w:rPr>
      </w:pPr>
    </w:p>
    <w:p w14:paraId="314A6D39" w14:textId="15C28A4D" w:rsidR="00C040AD" w:rsidRDefault="00037F8B" w:rsidP="00C040AD">
      <w:pPr>
        <w:rPr>
          <w:b/>
        </w:rPr>
      </w:pPr>
      <w:r>
        <w:rPr>
          <w:b/>
        </w:rPr>
        <w:t>About the Journal</w:t>
      </w:r>
    </w:p>
    <w:p w14:paraId="63407A32" w14:textId="77777777" w:rsidR="00C040AD" w:rsidRDefault="00C040AD" w:rsidP="00C040AD">
      <w:pPr>
        <w:rPr>
          <w:b/>
        </w:rPr>
      </w:pPr>
    </w:p>
    <w:p w14:paraId="13688EB7" w14:textId="2C7F78CF" w:rsidR="001814D5" w:rsidRPr="00C040AD" w:rsidRDefault="001814D5" w:rsidP="00C040AD">
      <w:pPr>
        <w:rPr>
          <w:b/>
        </w:rPr>
      </w:pPr>
      <w:r w:rsidRPr="001814D5">
        <w:rPr>
          <w:rStyle w:val="Emphasis"/>
        </w:rPr>
        <w:t>Imagining SoTL: Selections from the Banff Symposium</w:t>
      </w:r>
      <w:r w:rsidRPr="001814D5">
        <w:t xml:space="preserve"> (</w:t>
      </w:r>
      <w:r w:rsidRPr="001814D5">
        <w:rPr>
          <w:rStyle w:val="Emphasis"/>
        </w:rPr>
        <w:t>IS</w:t>
      </w:r>
      <w:r w:rsidR="003A3C73">
        <w:t xml:space="preserve">) </w:t>
      </w:r>
      <w:r w:rsidRPr="001814D5">
        <w:t xml:space="preserve">stems from the annual Symposium for Scholarship of Teaching and Learning (SoTL), hosted by Mount Royal University’s </w:t>
      </w:r>
      <w:proofErr w:type="spellStart"/>
      <w:r w:rsidRPr="001814D5">
        <w:t>Mokakiiks</w:t>
      </w:r>
      <w:proofErr w:type="spellEnd"/>
      <w:r w:rsidRPr="001814D5">
        <w:t xml:space="preserve"> Centre for SoTL. </w:t>
      </w:r>
    </w:p>
    <w:p w14:paraId="2D37B55C" w14:textId="43E1CE60" w:rsidR="001814D5" w:rsidRPr="001814D5" w:rsidRDefault="001814D5" w:rsidP="001814D5">
      <w:pPr>
        <w:pStyle w:val="NormalWeb"/>
        <w:rPr>
          <w:rFonts w:ascii="Times New Roman" w:hAnsi="Times New Roman"/>
          <w:sz w:val="24"/>
          <w:szCs w:val="24"/>
        </w:rPr>
      </w:pPr>
      <w:r w:rsidRPr="001814D5">
        <w:rPr>
          <w:rFonts w:ascii="Times New Roman" w:hAnsi="Times New Roman"/>
          <w:sz w:val="24"/>
          <w:szCs w:val="24"/>
        </w:rPr>
        <w:t xml:space="preserve">The </w:t>
      </w:r>
      <w:proofErr w:type="spellStart"/>
      <w:r w:rsidR="003A3C73">
        <w:rPr>
          <w:rFonts w:ascii="Times New Roman" w:hAnsi="Times New Roman"/>
          <w:sz w:val="24"/>
          <w:szCs w:val="24"/>
        </w:rPr>
        <w:t>Mokakiiks</w:t>
      </w:r>
      <w:proofErr w:type="spellEnd"/>
      <w:r w:rsidR="003A3C73">
        <w:rPr>
          <w:rFonts w:ascii="Times New Roman" w:hAnsi="Times New Roman"/>
          <w:sz w:val="24"/>
          <w:szCs w:val="24"/>
        </w:rPr>
        <w:t xml:space="preserve"> </w:t>
      </w:r>
      <w:r w:rsidRPr="001814D5">
        <w:rPr>
          <w:rFonts w:ascii="Times New Roman" w:hAnsi="Times New Roman"/>
          <w:sz w:val="24"/>
          <w:szCs w:val="24"/>
        </w:rPr>
        <w:t xml:space="preserve">Centre is located in Treaty 7 territory, the hereditary homelands of the </w:t>
      </w:r>
      <w:proofErr w:type="spellStart"/>
      <w:r w:rsidRPr="001814D5">
        <w:rPr>
          <w:rFonts w:ascii="Times New Roman" w:hAnsi="Times New Roman"/>
          <w:sz w:val="24"/>
          <w:szCs w:val="24"/>
        </w:rPr>
        <w:t>Niitsitapi</w:t>
      </w:r>
      <w:proofErr w:type="spellEnd"/>
      <w:r w:rsidRPr="001814D5">
        <w:rPr>
          <w:rFonts w:ascii="Times New Roman" w:hAnsi="Times New Roman"/>
          <w:sz w:val="24"/>
          <w:szCs w:val="24"/>
        </w:rPr>
        <w:t xml:space="preserve"> (the Blackfoot Confederacy), </w:t>
      </w:r>
      <w:proofErr w:type="spellStart"/>
      <w:r w:rsidRPr="001814D5">
        <w:rPr>
          <w:rFonts w:ascii="Times New Roman" w:hAnsi="Times New Roman"/>
          <w:sz w:val="24"/>
          <w:szCs w:val="24"/>
        </w:rPr>
        <w:t>Îyârhe</w:t>
      </w:r>
      <w:proofErr w:type="spellEnd"/>
      <w:r w:rsidRPr="001814D5">
        <w:rPr>
          <w:rFonts w:ascii="Times New Roman" w:hAnsi="Times New Roman"/>
          <w:sz w:val="24"/>
          <w:szCs w:val="24"/>
        </w:rPr>
        <w:t xml:space="preserve"> </w:t>
      </w:r>
      <w:proofErr w:type="spellStart"/>
      <w:r w:rsidRPr="001814D5">
        <w:rPr>
          <w:rFonts w:ascii="Times New Roman" w:hAnsi="Times New Roman"/>
          <w:sz w:val="24"/>
          <w:szCs w:val="24"/>
        </w:rPr>
        <w:t>Nakoda</w:t>
      </w:r>
      <w:proofErr w:type="spellEnd"/>
      <w:r w:rsidRPr="001814D5">
        <w:rPr>
          <w:rFonts w:ascii="Times New Roman" w:hAnsi="Times New Roman"/>
          <w:sz w:val="24"/>
          <w:szCs w:val="24"/>
        </w:rPr>
        <w:t>, and Tsuut'ina Nations. When asked to translate the previous name of the Institute for SoTL, Blackfoot elder Leo Fox gave</w:t>
      </w:r>
      <w:r w:rsidR="003A3C73">
        <w:rPr>
          <w:rFonts w:ascii="Times New Roman" w:hAnsi="Times New Roman"/>
          <w:sz w:val="24"/>
          <w:szCs w:val="24"/>
        </w:rPr>
        <w:t xml:space="preserve"> the</w:t>
      </w:r>
      <w:r w:rsidRPr="001814D5">
        <w:rPr>
          <w:rFonts w:ascii="Times New Roman" w:hAnsi="Times New Roman"/>
          <w:sz w:val="24"/>
          <w:szCs w:val="24"/>
        </w:rPr>
        <w:t xml:space="preserve"> word </w:t>
      </w:r>
      <w:proofErr w:type="spellStart"/>
      <w:r w:rsidRPr="001814D5">
        <w:rPr>
          <w:rStyle w:val="Emphasis"/>
          <w:rFonts w:ascii="Times New Roman" w:hAnsi="Times New Roman"/>
          <w:sz w:val="24"/>
          <w:szCs w:val="24"/>
        </w:rPr>
        <w:t>ksimstaani</w:t>
      </w:r>
      <w:proofErr w:type="spellEnd"/>
      <w:r w:rsidRPr="001814D5">
        <w:rPr>
          <w:rFonts w:ascii="Times New Roman" w:hAnsi="Times New Roman"/>
          <w:sz w:val="24"/>
          <w:szCs w:val="24"/>
        </w:rPr>
        <w:t>, which means ‘imagining.’ We name the publication after this inspiring way of thinking about SoTL as possibility and potential for transformation.</w:t>
      </w:r>
    </w:p>
    <w:p w14:paraId="4D354AB6" w14:textId="2DEDDCE4" w:rsidR="001814D5" w:rsidRPr="001814D5" w:rsidRDefault="00D24425" w:rsidP="001814D5">
      <w:pPr>
        <w:pStyle w:val="NormalWeb"/>
        <w:rPr>
          <w:rFonts w:ascii="Times New Roman" w:hAnsi="Times New Roman"/>
          <w:sz w:val="24"/>
          <w:szCs w:val="24"/>
        </w:rPr>
      </w:pPr>
      <w:r>
        <w:rPr>
          <w:rFonts w:ascii="Times New Roman" w:hAnsi="Times New Roman"/>
          <w:i/>
          <w:sz w:val="24"/>
          <w:szCs w:val="24"/>
        </w:rPr>
        <w:t xml:space="preserve">Imagining SoTL </w:t>
      </w:r>
      <w:r>
        <w:rPr>
          <w:rFonts w:ascii="Times New Roman" w:hAnsi="Times New Roman"/>
          <w:sz w:val="24"/>
          <w:szCs w:val="24"/>
        </w:rPr>
        <w:t xml:space="preserve">accepts the following </w:t>
      </w:r>
      <w:r w:rsidR="00457169">
        <w:rPr>
          <w:rFonts w:ascii="Times New Roman" w:hAnsi="Times New Roman"/>
          <w:sz w:val="24"/>
          <w:szCs w:val="24"/>
        </w:rPr>
        <w:t xml:space="preserve">English language </w:t>
      </w:r>
      <w:r>
        <w:rPr>
          <w:rFonts w:ascii="Times New Roman" w:hAnsi="Times New Roman"/>
          <w:sz w:val="24"/>
          <w:szCs w:val="24"/>
        </w:rPr>
        <w:t xml:space="preserve">submissions: </w:t>
      </w:r>
      <w:r w:rsidR="001814D5" w:rsidRPr="001814D5">
        <w:rPr>
          <w:rFonts w:ascii="Times New Roman" w:hAnsi="Times New Roman"/>
          <w:sz w:val="24"/>
          <w:szCs w:val="24"/>
        </w:rPr>
        <w:t xml:space="preserve">research articles, reflective essays, calls for collaboration, reports on SoTL in practice, </w:t>
      </w:r>
      <w:r w:rsidR="003A3C73">
        <w:rPr>
          <w:rFonts w:ascii="Times New Roman" w:hAnsi="Times New Roman"/>
          <w:sz w:val="24"/>
          <w:szCs w:val="24"/>
        </w:rPr>
        <w:t>and</w:t>
      </w:r>
      <w:r w:rsidR="001814D5" w:rsidRPr="001814D5">
        <w:rPr>
          <w:rFonts w:ascii="Times New Roman" w:hAnsi="Times New Roman"/>
          <w:sz w:val="24"/>
          <w:szCs w:val="24"/>
        </w:rPr>
        <w:t xml:space="preserve"> other scholarly works that investigate teaching and learning in higher education.</w:t>
      </w:r>
      <w:r w:rsidR="00D35A69">
        <w:rPr>
          <w:rFonts w:ascii="Times New Roman" w:hAnsi="Times New Roman"/>
          <w:sz w:val="24"/>
          <w:szCs w:val="24"/>
        </w:rPr>
        <w:t xml:space="preserve"> Some issues also include invited essays and creative responses.</w:t>
      </w:r>
      <w:r w:rsidR="001814D5" w:rsidRPr="001814D5">
        <w:rPr>
          <w:rFonts w:ascii="Times New Roman" w:hAnsi="Times New Roman"/>
          <w:sz w:val="24"/>
          <w:szCs w:val="24"/>
        </w:rPr>
        <w:t xml:space="preserve"> </w:t>
      </w:r>
      <w:r w:rsidR="001814D5" w:rsidRPr="001814D5">
        <w:rPr>
          <w:rStyle w:val="Emphasis"/>
          <w:rFonts w:ascii="Times New Roman" w:hAnsi="Times New Roman"/>
          <w:sz w:val="24"/>
          <w:szCs w:val="24"/>
        </w:rPr>
        <w:t>IS</w:t>
      </w:r>
      <w:r w:rsidR="001814D5" w:rsidRPr="001814D5">
        <w:rPr>
          <w:rFonts w:ascii="Times New Roman" w:hAnsi="Times New Roman"/>
          <w:sz w:val="24"/>
          <w:szCs w:val="24"/>
        </w:rPr>
        <w:t xml:space="preserve"> aims for high quality and values methodological richness and variety from a diversity of perspectives.</w:t>
      </w:r>
    </w:p>
    <w:p w14:paraId="516473FD" w14:textId="77777777" w:rsidR="00C040AD" w:rsidRDefault="001814D5" w:rsidP="001814D5">
      <w:pPr>
        <w:pStyle w:val="NormalWeb"/>
        <w:rPr>
          <w:rFonts w:ascii="Times New Roman" w:hAnsi="Times New Roman"/>
          <w:sz w:val="24"/>
          <w:szCs w:val="24"/>
        </w:rPr>
      </w:pPr>
      <w:r w:rsidRPr="001814D5">
        <w:rPr>
          <w:rStyle w:val="Strong"/>
          <w:rFonts w:ascii="Times New Roman" w:hAnsi="Times New Roman"/>
          <w:sz w:val="24"/>
          <w:szCs w:val="24"/>
        </w:rPr>
        <w:t>Open Access Policy</w:t>
      </w:r>
    </w:p>
    <w:p w14:paraId="18F7AFC4" w14:textId="152F4486" w:rsidR="001814D5" w:rsidRPr="001814D5" w:rsidRDefault="001814D5" w:rsidP="001814D5">
      <w:pPr>
        <w:pStyle w:val="NormalWeb"/>
        <w:rPr>
          <w:rFonts w:ascii="Times New Roman" w:hAnsi="Times New Roman"/>
          <w:sz w:val="24"/>
          <w:szCs w:val="24"/>
        </w:rPr>
      </w:pPr>
      <w:r w:rsidRPr="001814D5">
        <w:rPr>
          <w:rStyle w:val="Emphasis"/>
          <w:rFonts w:ascii="Times New Roman" w:hAnsi="Times New Roman"/>
          <w:sz w:val="24"/>
          <w:szCs w:val="24"/>
        </w:rPr>
        <w:t>Imagining SoTL</w:t>
      </w:r>
      <w:r w:rsidRPr="001814D5">
        <w:rPr>
          <w:rFonts w:ascii="Times New Roman" w:hAnsi="Times New Roman"/>
          <w:sz w:val="24"/>
          <w:szCs w:val="24"/>
        </w:rPr>
        <w:t> </w:t>
      </w:r>
      <w:r w:rsidR="008B6ED4">
        <w:rPr>
          <w:rFonts w:ascii="Times New Roman" w:hAnsi="Times New Roman"/>
          <w:sz w:val="24"/>
          <w:szCs w:val="24"/>
        </w:rPr>
        <w:t>is an open access publication. </w:t>
      </w:r>
      <w:r w:rsidRPr="001814D5">
        <w:rPr>
          <w:rFonts w:ascii="Times New Roman" w:hAnsi="Times New Roman"/>
          <w:sz w:val="24"/>
          <w:szCs w:val="24"/>
        </w:rPr>
        <w:t>There are no article processing charges for publishing in </w:t>
      </w:r>
      <w:r w:rsidRPr="001814D5">
        <w:rPr>
          <w:rStyle w:val="Emphasis"/>
          <w:rFonts w:ascii="Times New Roman" w:hAnsi="Times New Roman"/>
          <w:sz w:val="24"/>
          <w:szCs w:val="24"/>
        </w:rPr>
        <w:t>I</w:t>
      </w:r>
      <w:r w:rsidR="003A3C73">
        <w:rPr>
          <w:rStyle w:val="Emphasis"/>
          <w:rFonts w:ascii="Times New Roman" w:hAnsi="Times New Roman"/>
          <w:sz w:val="24"/>
          <w:szCs w:val="24"/>
        </w:rPr>
        <w:t>S</w:t>
      </w:r>
      <w:r w:rsidRPr="001814D5">
        <w:rPr>
          <w:rFonts w:ascii="Times New Roman" w:hAnsi="Times New Roman"/>
          <w:sz w:val="24"/>
          <w:szCs w:val="24"/>
        </w:rPr>
        <w:t>. We believe that open access is a public good as it promotes sharing of knowledge. Such access is associated with increased readership and increased citation of an author's work.</w:t>
      </w:r>
    </w:p>
    <w:p w14:paraId="711EB3C3" w14:textId="77777777" w:rsidR="00037F8B" w:rsidRDefault="00037F8B" w:rsidP="00037F8B">
      <w:pPr>
        <w:rPr>
          <w:b/>
        </w:rPr>
      </w:pPr>
      <w:r>
        <w:rPr>
          <w:b/>
        </w:rPr>
        <w:t xml:space="preserve">Peer Review </w:t>
      </w:r>
    </w:p>
    <w:p w14:paraId="41E33D92" w14:textId="77777777" w:rsidR="001814D5" w:rsidRDefault="001814D5" w:rsidP="00037F8B">
      <w:pPr>
        <w:rPr>
          <w:b/>
        </w:rPr>
      </w:pPr>
    </w:p>
    <w:p w14:paraId="45BDDC16" w14:textId="085B41E6" w:rsidR="001814D5" w:rsidRPr="001814D5" w:rsidRDefault="001814D5" w:rsidP="00037F8B">
      <w:r w:rsidRPr="001814D5">
        <w:t xml:space="preserve">All papers submitted to </w:t>
      </w:r>
      <w:r w:rsidRPr="001814D5">
        <w:rPr>
          <w:i/>
        </w:rPr>
        <w:t>I</w:t>
      </w:r>
      <w:r w:rsidR="003A3C73">
        <w:rPr>
          <w:i/>
        </w:rPr>
        <w:t>S</w:t>
      </w:r>
      <w:r w:rsidRPr="001814D5">
        <w:rPr>
          <w:i/>
        </w:rPr>
        <w:t xml:space="preserve"> </w:t>
      </w:r>
      <w:r w:rsidRPr="001814D5">
        <w:t xml:space="preserve">undergo </w:t>
      </w:r>
      <w:r w:rsidR="00EC2673">
        <w:t>an anonymous</w:t>
      </w:r>
      <w:r w:rsidRPr="001814D5">
        <w:t xml:space="preserve"> peer review process prior to publication. </w:t>
      </w:r>
      <w:r w:rsidR="00D35A69">
        <w:t>Invited pieces</w:t>
      </w:r>
      <w:r w:rsidR="00EC2673">
        <w:t xml:space="preserve"> and creative submissions</w:t>
      </w:r>
      <w:r w:rsidR="00D35A69">
        <w:t xml:space="preserve"> are peer-reviewed by the editorial board.</w:t>
      </w:r>
    </w:p>
    <w:p w14:paraId="1FB10DDD" w14:textId="1B94954D" w:rsidR="00037F8B" w:rsidRDefault="00037F8B" w:rsidP="00037F8B">
      <w:pPr>
        <w:rPr>
          <w:b/>
        </w:rPr>
      </w:pPr>
    </w:p>
    <w:p w14:paraId="2E306FD5" w14:textId="77777777" w:rsidR="00D35A69" w:rsidRDefault="00D35A69" w:rsidP="00037F8B">
      <w:pPr>
        <w:rPr>
          <w:b/>
        </w:rPr>
      </w:pPr>
    </w:p>
    <w:p w14:paraId="145CE1E9" w14:textId="3B9CC248" w:rsidR="00D24425" w:rsidRDefault="00037F8B" w:rsidP="00C040AD">
      <w:pPr>
        <w:jc w:val="center"/>
        <w:rPr>
          <w:b/>
        </w:rPr>
      </w:pPr>
      <w:r>
        <w:rPr>
          <w:b/>
        </w:rPr>
        <w:t>Preparing Your Article</w:t>
      </w:r>
    </w:p>
    <w:p w14:paraId="780CE09F" w14:textId="77777777" w:rsidR="00A81908" w:rsidRDefault="00A81908" w:rsidP="00037F8B">
      <w:pPr>
        <w:rPr>
          <w:b/>
        </w:rPr>
      </w:pPr>
    </w:p>
    <w:p w14:paraId="4A536203" w14:textId="77777777" w:rsidR="00D24425" w:rsidRDefault="00D24425" w:rsidP="00037F8B">
      <w:pPr>
        <w:rPr>
          <w:b/>
        </w:rPr>
      </w:pPr>
      <w:r>
        <w:rPr>
          <w:b/>
        </w:rPr>
        <w:t>Word Limit</w:t>
      </w:r>
    </w:p>
    <w:p w14:paraId="7BE3FA08" w14:textId="77777777" w:rsidR="00D24425" w:rsidRDefault="00D24425" w:rsidP="00037F8B">
      <w:pPr>
        <w:rPr>
          <w:b/>
        </w:rPr>
      </w:pPr>
    </w:p>
    <w:p w14:paraId="73FC0927" w14:textId="444ED794" w:rsidR="00D24425" w:rsidRDefault="00D35A69" w:rsidP="00037F8B">
      <w:r>
        <w:t>Research articles</w:t>
      </w:r>
      <w:r w:rsidR="00A81908">
        <w:t xml:space="preserve"> should be no more than 6000 words (not including the abstract and references). </w:t>
      </w:r>
      <w:r w:rsidR="00EC2673">
        <w:t>Reflective essays should be maximum 4000 words, while creative responses will be maximum 1500.</w:t>
      </w:r>
      <w:r>
        <w:t xml:space="preserve"> </w:t>
      </w:r>
      <w:r w:rsidR="00EC2673">
        <w:t>S</w:t>
      </w:r>
      <w:r>
        <w:t>pecial calls may have specific word limits.</w:t>
      </w:r>
    </w:p>
    <w:p w14:paraId="0BE8C43C" w14:textId="77777777" w:rsidR="00A81908" w:rsidRPr="00A81908" w:rsidRDefault="00A81908" w:rsidP="00037F8B">
      <w:pPr>
        <w:rPr>
          <w:b/>
        </w:rPr>
      </w:pPr>
    </w:p>
    <w:p w14:paraId="1470735E" w14:textId="6DBB2A1D" w:rsidR="00A81908" w:rsidRPr="00C040AD" w:rsidRDefault="00A81908" w:rsidP="00037F8B">
      <w:pPr>
        <w:rPr>
          <w:b/>
        </w:rPr>
      </w:pPr>
      <w:r w:rsidRPr="00A81908">
        <w:rPr>
          <w:b/>
        </w:rPr>
        <w:t>Anonymization</w:t>
      </w:r>
      <w:r>
        <w:rPr>
          <w:b/>
        </w:rPr>
        <w:t xml:space="preserve"> of Articles</w:t>
      </w:r>
    </w:p>
    <w:p w14:paraId="4F8D51C4" w14:textId="12AF58D5" w:rsidR="00A81908" w:rsidRDefault="00A81908" w:rsidP="00037F8B">
      <w:r>
        <w:t xml:space="preserve">The article abstract and metadata </w:t>
      </w:r>
      <w:r w:rsidR="0039338F">
        <w:t>should be</w:t>
      </w:r>
      <w:r>
        <w:t xml:space="preserve"> anonymized at the point of submission. </w:t>
      </w:r>
    </w:p>
    <w:p w14:paraId="0D57A945" w14:textId="77777777" w:rsidR="00A81908" w:rsidRDefault="00A81908" w:rsidP="00037F8B"/>
    <w:p w14:paraId="658004DD" w14:textId="63B39693" w:rsidR="00A81908" w:rsidRPr="00C040AD" w:rsidRDefault="00A81908" w:rsidP="00037F8B">
      <w:pPr>
        <w:rPr>
          <w:b/>
        </w:rPr>
      </w:pPr>
      <w:r w:rsidRPr="00A81908">
        <w:rPr>
          <w:b/>
        </w:rPr>
        <w:lastRenderedPageBreak/>
        <w:t>Third-party Material</w:t>
      </w:r>
    </w:p>
    <w:p w14:paraId="7B47824D" w14:textId="290681C9" w:rsidR="00A81908" w:rsidRDefault="00A81908" w:rsidP="00037F8B">
      <w:r>
        <w:t>Following acceptance, authors are responsible for obtaining permission to use any third-party material included in their articles.</w:t>
      </w:r>
    </w:p>
    <w:p w14:paraId="015EB305" w14:textId="77777777" w:rsidR="00A81908" w:rsidRDefault="00A81908" w:rsidP="00037F8B"/>
    <w:p w14:paraId="1CAA5955" w14:textId="7BA46B74" w:rsidR="00A81908" w:rsidRPr="00C040AD" w:rsidRDefault="00A81908" w:rsidP="00037F8B">
      <w:pPr>
        <w:rPr>
          <w:b/>
        </w:rPr>
      </w:pPr>
      <w:r w:rsidRPr="00A81908">
        <w:rPr>
          <w:b/>
        </w:rPr>
        <w:t>Ethics Clearance</w:t>
      </w:r>
    </w:p>
    <w:p w14:paraId="66C341D9" w14:textId="118CB6BB" w:rsidR="00A81908" w:rsidRDefault="00A81908" w:rsidP="00037F8B">
      <w:r>
        <w:t>A statement in the article should indicate that ethics clearance was granted</w:t>
      </w:r>
      <w:r w:rsidR="00C21E18">
        <w:t>, where required</w:t>
      </w:r>
      <w:r>
        <w:t>.</w:t>
      </w:r>
    </w:p>
    <w:p w14:paraId="3CE666E2" w14:textId="77777777" w:rsidR="00A81908" w:rsidRPr="00D24425" w:rsidRDefault="00A81908" w:rsidP="00037F8B"/>
    <w:p w14:paraId="26F80DF0" w14:textId="77777777" w:rsidR="001814D5" w:rsidRDefault="001814D5" w:rsidP="00037F8B">
      <w:pPr>
        <w:rPr>
          <w:b/>
        </w:rPr>
      </w:pPr>
    </w:p>
    <w:p w14:paraId="153B71E7" w14:textId="77777777" w:rsidR="001814D5" w:rsidRDefault="001814D5" w:rsidP="0039338F">
      <w:pPr>
        <w:jc w:val="center"/>
        <w:rPr>
          <w:b/>
        </w:rPr>
      </w:pPr>
      <w:r>
        <w:rPr>
          <w:b/>
        </w:rPr>
        <w:t>Style Guidelines</w:t>
      </w:r>
    </w:p>
    <w:p w14:paraId="248D69DC" w14:textId="77777777" w:rsidR="00D24425" w:rsidRPr="00D24425" w:rsidRDefault="00D24425" w:rsidP="00037F8B"/>
    <w:p w14:paraId="7028394F" w14:textId="435CC22D" w:rsidR="00C040AD" w:rsidRPr="00C040AD" w:rsidRDefault="00D24425" w:rsidP="00C040AD">
      <w:pPr>
        <w:rPr>
          <w:rFonts w:eastAsia="Times New Roman"/>
          <w:color w:val="000000" w:themeColor="text1"/>
          <w:lang w:val="en-CA"/>
        </w:rPr>
      </w:pPr>
      <w:r w:rsidRPr="00D24425">
        <w:t xml:space="preserve">The following contains </w:t>
      </w:r>
      <w:r>
        <w:t>an</w:t>
      </w:r>
      <w:r w:rsidRPr="00D24425">
        <w:t xml:space="preserve"> overview of guidelines to follow when submitting your paper to </w:t>
      </w:r>
      <w:r w:rsidRPr="00D24425">
        <w:rPr>
          <w:i/>
        </w:rPr>
        <w:t>Imagining SoTL</w:t>
      </w:r>
      <w:r>
        <w:t>. If your article is accepted for publication, the manuscript will be further formatted.</w:t>
      </w:r>
      <w:r w:rsidR="003C1BC9">
        <w:t xml:space="preserve"> </w:t>
      </w:r>
      <w:r w:rsidR="00C040AD" w:rsidRPr="00C040AD">
        <w:rPr>
          <w:rFonts w:eastAsia="Times New Roman"/>
          <w:color w:val="000000" w:themeColor="text1"/>
          <w:shd w:val="clear" w:color="auto" w:fill="FFFFFF"/>
          <w:lang w:val="en-CA"/>
        </w:rPr>
        <w:t>Given that we are also open to alternatives to traditional research articles, you may submit using an alternative format if it is called for by your topic, and is consistently implemented. You should explain your rationale in the cover letter. Decisions about alternate formats will be made on a case by case basis by the editorial team. </w:t>
      </w:r>
    </w:p>
    <w:p w14:paraId="35F48472" w14:textId="77777777" w:rsidR="00D24425" w:rsidRDefault="00D24425" w:rsidP="00037F8B"/>
    <w:p w14:paraId="0089EA9A" w14:textId="77777777" w:rsidR="00FD2F24" w:rsidRDefault="00FD2F24" w:rsidP="00037F8B">
      <w:pPr>
        <w:rPr>
          <w:b/>
        </w:rPr>
      </w:pPr>
      <w:r>
        <w:rPr>
          <w:b/>
        </w:rPr>
        <w:t>Formatting</w:t>
      </w:r>
    </w:p>
    <w:p w14:paraId="40A3FCA3" w14:textId="77777777" w:rsidR="006A0F4C" w:rsidRDefault="006A0F4C" w:rsidP="00037F8B">
      <w:pPr>
        <w:rPr>
          <w:b/>
        </w:rPr>
      </w:pPr>
    </w:p>
    <w:p w14:paraId="45F9B99C" w14:textId="77777777" w:rsidR="00FD2F24" w:rsidRDefault="00FD2F24" w:rsidP="00FD2F24">
      <w:r>
        <w:t xml:space="preserve">Articles should be formatted in Times New Roman, 12-point font. They should be double-spaced with 2.5 cm margins. </w:t>
      </w:r>
    </w:p>
    <w:p w14:paraId="18528133" w14:textId="77777777" w:rsidR="00FD2F24" w:rsidRDefault="00FD2F24" w:rsidP="00FD2F24"/>
    <w:p w14:paraId="30333335" w14:textId="77777777" w:rsidR="00FD2F24" w:rsidRDefault="00FD2F24" w:rsidP="00FD2F24">
      <w:r>
        <w:t>Please indent paragraphs 1.27 cm, using the paragraph function in Word, rather than the “tab” key.</w:t>
      </w:r>
    </w:p>
    <w:p w14:paraId="37403C24" w14:textId="77777777" w:rsidR="00FD2F24" w:rsidRDefault="00FD2F24" w:rsidP="00FD2F24"/>
    <w:p w14:paraId="5CD2B5BC" w14:textId="77777777" w:rsidR="001C0AFD" w:rsidRDefault="00FD2F24" w:rsidP="00FD2F24">
      <w:r>
        <w:t>Headings should follow APA Style:</w:t>
      </w:r>
    </w:p>
    <w:p w14:paraId="234A6E73" w14:textId="77777777" w:rsidR="001C0AFD" w:rsidRDefault="001C0AFD" w:rsidP="00FD2F24"/>
    <w:tbl>
      <w:tblPr>
        <w:tblStyle w:val="TableGrid"/>
        <w:tblW w:w="0" w:type="auto"/>
        <w:tblLook w:val="04A0" w:firstRow="1" w:lastRow="0" w:firstColumn="1" w:lastColumn="0" w:noHBand="0" w:noVBand="1"/>
      </w:tblPr>
      <w:tblGrid>
        <w:gridCol w:w="952"/>
        <w:gridCol w:w="7684"/>
      </w:tblGrid>
      <w:tr w:rsidR="001C0AFD" w14:paraId="11C7DF7E" w14:textId="77777777" w:rsidTr="001C0AFD">
        <w:tc>
          <w:tcPr>
            <w:tcW w:w="959" w:type="dxa"/>
          </w:tcPr>
          <w:p w14:paraId="6D8FE5E3" w14:textId="76513345" w:rsidR="001C0AFD" w:rsidRDefault="001C0AFD" w:rsidP="00FD2F24">
            <w:r>
              <w:t>Level</w:t>
            </w:r>
          </w:p>
        </w:tc>
        <w:tc>
          <w:tcPr>
            <w:tcW w:w="7897" w:type="dxa"/>
          </w:tcPr>
          <w:p w14:paraId="44732E66" w14:textId="2428D7E7" w:rsidR="001C0AFD" w:rsidRDefault="001C0AFD" w:rsidP="001C0AFD">
            <w:r>
              <w:t>Format</w:t>
            </w:r>
          </w:p>
        </w:tc>
      </w:tr>
      <w:tr w:rsidR="001C0AFD" w14:paraId="7381F1EA" w14:textId="77777777" w:rsidTr="001C0AFD">
        <w:tc>
          <w:tcPr>
            <w:tcW w:w="959" w:type="dxa"/>
          </w:tcPr>
          <w:p w14:paraId="3BD58F7C" w14:textId="4DEF79E1" w:rsidR="001C0AFD" w:rsidRDefault="001C0AFD" w:rsidP="001C0AFD">
            <w:pPr>
              <w:jc w:val="center"/>
            </w:pPr>
            <w:r>
              <w:t>1</w:t>
            </w:r>
          </w:p>
        </w:tc>
        <w:tc>
          <w:tcPr>
            <w:tcW w:w="7897" w:type="dxa"/>
          </w:tcPr>
          <w:p w14:paraId="0956DB4F" w14:textId="77777777" w:rsidR="001C0AFD" w:rsidRDefault="001C0AFD" w:rsidP="001C0AFD">
            <w:pPr>
              <w:jc w:val="center"/>
              <w:rPr>
                <w:b/>
              </w:rPr>
            </w:pPr>
            <w:r w:rsidRPr="001C0AFD">
              <w:rPr>
                <w:b/>
              </w:rPr>
              <w:t>Centred, Bold, Title Case Heading</w:t>
            </w:r>
          </w:p>
          <w:p w14:paraId="2C620627" w14:textId="77777777" w:rsidR="001C0AFD" w:rsidRDefault="001C0AFD" w:rsidP="001C0AFD">
            <w:pPr>
              <w:ind w:left="284"/>
            </w:pPr>
            <w:r w:rsidRPr="001C0AFD">
              <w:t>Text begins as a new paragraph.</w:t>
            </w:r>
          </w:p>
          <w:p w14:paraId="0AEE500E" w14:textId="64280A1D" w:rsidR="006A0F4C" w:rsidRPr="001C0AFD" w:rsidRDefault="006A0F4C" w:rsidP="001C0AFD">
            <w:pPr>
              <w:ind w:left="284"/>
            </w:pPr>
          </w:p>
        </w:tc>
      </w:tr>
      <w:tr w:rsidR="001C0AFD" w14:paraId="42AF3412" w14:textId="77777777" w:rsidTr="001C0AFD">
        <w:tc>
          <w:tcPr>
            <w:tcW w:w="959" w:type="dxa"/>
          </w:tcPr>
          <w:p w14:paraId="5B2A8D20" w14:textId="77239915" w:rsidR="001C0AFD" w:rsidRDefault="001C0AFD" w:rsidP="001C0AFD">
            <w:pPr>
              <w:jc w:val="center"/>
            </w:pPr>
            <w:r>
              <w:t>2</w:t>
            </w:r>
          </w:p>
        </w:tc>
        <w:tc>
          <w:tcPr>
            <w:tcW w:w="7897" w:type="dxa"/>
          </w:tcPr>
          <w:p w14:paraId="3A43C779" w14:textId="77777777" w:rsidR="001C0AFD" w:rsidRDefault="001C0AFD" w:rsidP="00FD2F24">
            <w:pPr>
              <w:rPr>
                <w:b/>
              </w:rPr>
            </w:pPr>
            <w:r w:rsidRPr="001C0AFD">
              <w:rPr>
                <w:b/>
              </w:rPr>
              <w:t>Flush Left, Bold, Title Case Heading</w:t>
            </w:r>
          </w:p>
          <w:p w14:paraId="4792DA76" w14:textId="77777777" w:rsidR="001C0AFD" w:rsidRDefault="001C0AFD" w:rsidP="001C0AFD">
            <w:pPr>
              <w:ind w:left="284"/>
            </w:pPr>
            <w:r w:rsidRPr="001C0AFD">
              <w:t>Text begins as a new paragraph.</w:t>
            </w:r>
          </w:p>
          <w:p w14:paraId="0A74ECDB" w14:textId="55482E98" w:rsidR="006A0F4C" w:rsidRPr="001C0AFD" w:rsidRDefault="006A0F4C" w:rsidP="001C0AFD">
            <w:pPr>
              <w:ind w:left="284"/>
            </w:pPr>
          </w:p>
        </w:tc>
      </w:tr>
      <w:tr w:rsidR="001C0AFD" w14:paraId="5A4155B2" w14:textId="77777777" w:rsidTr="001C0AFD">
        <w:tc>
          <w:tcPr>
            <w:tcW w:w="959" w:type="dxa"/>
          </w:tcPr>
          <w:p w14:paraId="566D7E50" w14:textId="2BB4AD7F" w:rsidR="001C0AFD" w:rsidRDefault="001C0AFD" w:rsidP="001C0AFD">
            <w:pPr>
              <w:jc w:val="center"/>
            </w:pPr>
            <w:r>
              <w:t>3</w:t>
            </w:r>
          </w:p>
        </w:tc>
        <w:tc>
          <w:tcPr>
            <w:tcW w:w="7897" w:type="dxa"/>
          </w:tcPr>
          <w:p w14:paraId="6A6FDC82" w14:textId="759CE57E" w:rsidR="001C0AFD" w:rsidRPr="003C1BC9" w:rsidRDefault="001C0AFD" w:rsidP="00FD2F24">
            <w:pPr>
              <w:rPr>
                <w:b/>
                <w:i/>
                <w:iCs/>
              </w:rPr>
            </w:pPr>
            <w:r w:rsidRPr="003C1BC9">
              <w:rPr>
                <w:b/>
                <w:i/>
                <w:iCs/>
              </w:rPr>
              <w:t>Flush Left, Bold</w:t>
            </w:r>
            <w:r w:rsidR="003C1BC9" w:rsidRPr="003C1BC9">
              <w:rPr>
                <w:b/>
                <w:i/>
                <w:iCs/>
              </w:rPr>
              <w:t xml:space="preserve"> Italic</w:t>
            </w:r>
            <w:r w:rsidRPr="003C1BC9">
              <w:rPr>
                <w:b/>
                <w:i/>
                <w:iCs/>
              </w:rPr>
              <w:t>, Title Case Heading</w:t>
            </w:r>
          </w:p>
          <w:p w14:paraId="67D3C7F7" w14:textId="77777777" w:rsidR="001C0AFD" w:rsidRDefault="006A0F4C" w:rsidP="006A0F4C">
            <w:pPr>
              <w:ind w:left="284"/>
            </w:pPr>
            <w:r w:rsidRPr="001C0AFD">
              <w:t>Text begins as a new paragraph.</w:t>
            </w:r>
          </w:p>
          <w:p w14:paraId="4193B2DB" w14:textId="70E9932D" w:rsidR="006A0F4C" w:rsidRPr="001C0AFD" w:rsidRDefault="006A0F4C" w:rsidP="006A0F4C">
            <w:pPr>
              <w:ind w:left="284"/>
              <w:rPr>
                <w:b/>
              </w:rPr>
            </w:pPr>
          </w:p>
        </w:tc>
      </w:tr>
      <w:tr w:rsidR="001C0AFD" w14:paraId="5C6ED767" w14:textId="77777777" w:rsidTr="001C0AFD">
        <w:tc>
          <w:tcPr>
            <w:tcW w:w="959" w:type="dxa"/>
          </w:tcPr>
          <w:p w14:paraId="17817B36" w14:textId="4E308A2A" w:rsidR="001C0AFD" w:rsidRDefault="001C0AFD" w:rsidP="001C0AFD">
            <w:pPr>
              <w:jc w:val="center"/>
            </w:pPr>
            <w:r>
              <w:t>4</w:t>
            </w:r>
          </w:p>
        </w:tc>
        <w:tc>
          <w:tcPr>
            <w:tcW w:w="7897" w:type="dxa"/>
          </w:tcPr>
          <w:p w14:paraId="6E1FBD06" w14:textId="77777777" w:rsidR="001C0AFD" w:rsidRDefault="006A0F4C" w:rsidP="006A0F4C">
            <w:pPr>
              <w:ind w:firstLine="284"/>
            </w:pPr>
            <w:r w:rsidRPr="006A0F4C">
              <w:rPr>
                <w:b/>
              </w:rPr>
              <w:t>Indented, Bold, Title Case Heading, Ending With a Period.</w:t>
            </w:r>
            <w:r>
              <w:t xml:space="preserve"> Text begins on the same line and continues as a regular paragraph.</w:t>
            </w:r>
          </w:p>
          <w:p w14:paraId="5D608F85" w14:textId="77777777" w:rsidR="006A0F4C" w:rsidRDefault="006A0F4C" w:rsidP="00FD2F24"/>
        </w:tc>
      </w:tr>
      <w:tr w:rsidR="001C0AFD" w14:paraId="102D0EC0" w14:textId="77777777" w:rsidTr="001C0AFD">
        <w:tc>
          <w:tcPr>
            <w:tcW w:w="959" w:type="dxa"/>
          </w:tcPr>
          <w:p w14:paraId="60C2DA21" w14:textId="52A377C7" w:rsidR="001C0AFD" w:rsidRDefault="001C0AFD" w:rsidP="001C0AFD">
            <w:pPr>
              <w:jc w:val="center"/>
            </w:pPr>
            <w:r>
              <w:t>5</w:t>
            </w:r>
          </w:p>
        </w:tc>
        <w:tc>
          <w:tcPr>
            <w:tcW w:w="7897" w:type="dxa"/>
          </w:tcPr>
          <w:p w14:paraId="40504064" w14:textId="77777777" w:rsidR="001C0AFD" w:rsidRDefault="006A0F4C" w:rsidP="006A0F4C">
            <w:pPr>
              <w:ind w:firstLine="284"/>
            </w:pPr>
            <w:r w:rsidRPr="006A0F4C">
              <w:rPr>
                <w:b/>
                <w:i/>
              </w:rPr>
              <w:t>Indented, Bold Italic, Title Case Heading, Ending With a Period.</w:t>
            </w:r>
            <w:r>
              <w:t xml:space="preserve"> Text begins on the same line and continues as a regular paragraph.</w:t>
            </w:r>
          </w:p>
          <w:p w14:paraId="2E3707A5" w14:textId="6436FD02" w:rsidR="006A0F4C" w:rsidRDefault="006A0F4C" w:rsidP="006A0F4C">
            <w:pPr>
              <w:ind w:firstLine="284"/>
            </w:pPr>
          </w:p>
        </w:tc>
      </w:tr>
    </w:tbl>
    <w:p w14:paraId="364FFA49" w14:textId="65FE0355" w:rsidR="00FD2F24" w:rsidRDefault="00FD2F24" w:rsidP="00FD2F24"/>
    <w:p w14:paraId="1C61BD9B" w14:textId="23A44754" w:rsidR="00511BD9" w:rsidRPr="00511BD9" w:rsidRDefault="00A81908" w:rsidP="00155AD6">
      <w:r>
        <w:lastRenderedPageBreak/>
        <w:t>From the</w:t>
      </w:r>
      <w:r w:rsidR="00511BD9" w:rsidRPr="00511BD9">
        <w:t xml:space="preserve"> </w:t>
      </w:r>
      <w:r w:rsidR="00511BD9" w:rsidRPr="00511BD9">
        <w:rPr>
          <w:i/>
        </w:rPr>
        <w:t>Publication Manual of the American Psychological Association</w:t>
      </w:r>
      <w:r w:rsidR="00511BD9" w:rsidRPr="00511BD9">
        <w:t xml:space="preserve"> (7</w:t>
      </w:r>
      <w:r w:rsidR="00511BD9" w:rsidRPr="00511BD9">
        <w:rPr>
          <w:vertAlign w:val="superscript"/>
        </w:rPr>
        <w:t>th</w:t>
      </w:r>
      <w:r>
        <w:t xml:space="preserve"> edition), p. 48.</w:t>
      </w:r>
    </w:p>
    <w:p w14:paraId="6CB3AACA" w14:textId="77777777" w:rsidR="00511BD9" w:rsidRDefault="00511BD9" w:rsidP="00155AD6">
      <w:pPr>
        <w:rPr>
          <w:b/>
        </w:rPr>
      </w:pPr>
    </w:p>
    <w:p w14:paraId="61C31664" w14:textId="4B46F14F" w:rsidR="006A0F4C" w:rsidRPr="006A0F4C" w:rsidRDefault="006A0F4C" w:rsidP="00155AD6">
      <w:pPr>
        <w:rPr>
          <w:b/>
        </w:rPr>
      </w:pPr>
      <w:r w:rsidRPr="006A0F4C">
        <w:rPr>
          <w:b/>
        </w:rPr>
        <w:t>Abstract and Keywords</w:t>
      </w:r>
    </w:p>
    <w:p w14:paraId="143EE0E8" w14:textId="77777777" w:rsidR="006A0F4C" w:rsidRDefault="006A0F4C" w:rsidP="00155AD6"/>
    <w:p w14:paraId="3FBBA31A" w14:textId="5CCB36E8" w:rsidR="00155AD6" w:rsidRPr="00155AD6" w:rsidRDefault="00155AD6" w:rsidP="00155AD6">
      <w:r w:rsidRPr="00155AD6">
        <w:t>Your article should include an ab</w:t>
      </w:r>
      <w:r>
        <w:t>s</w:t>
      </w:r>
      <w:r w:rsidR="006A0F4C">
        <w:t xml:space="preserve">tract of no more than </w:t>
      </w:r>
      <w:r w:rsidR="00A81908">
        <w:t>150</w:t>
      </w:r>
      <w:r w:rsidR="006A0F4C">
        <w:t xml:space="preserve"> words and a list of </w:t>
      </w:r>
      <w:r w:rsidR="003C1BC9">
        <w:t xml:space="preserve">3-5 </w:t>
      </w:r>
      <w:r w:rsidR="006A0F4C">
        <w:t xml:space="preserve">keywords. </w:t>
      </w:r>
    </w:p>
    <w:p w14:paraId="1C6CDFE3" w14:textId="77777777" w:rsidR="00FD2F24" w:rsidRDefault="00FD2F24" w:rsidP="00037F8B">
      <w:pPr>
        <w:rPr>
          <w:b/>
        </w:rPr>
      </w:pPr>
    </w:p>
    <w:p w14:paraId="17D5BDDE" w14:textId="77777777" w:rsidR="00FD2F24" w:rsidRDefault="00FD2F24" w:rsidP="00037F8B">
      <w:pPr>
        <w:rPr>
          <w:b/>
        </w:rPr>
      </w:pPr>
      <w:r>
        <w:rPr>
          <w:b/>
        </w:rPr>
        <w:t>Spelling</w:t>
      </w:r>
      <w:r w:rsidR="00E93174">
        <w:rPr>
          <w:b/>
        </w:rPr>
        <w:t xml:space="preserve"> and Expression</w:t>
      </w:r>
    </w:p>
    <w:p w14:paraId="74AF9CEA" w14:textId="77777777" w:rsidR="00A81908" w:rsidRDefault="00A81908" w:rsidP="00037F8B">
      <w:pPr>
        <w:rPr>
          <w:b/>
        </w:rPr>
      </w:pPr>
    </w:p>
    <w:p w14:paraId="2966194A" w14:textId="2A4CE9D7" w:rsidR="00A81908" w:rsidRPr="00A81908" w:rsidRDefault="00A81908" w:rsidP="00037F8B">
      <w:r w:rsidRPr="003A3C73">
        <w:rPr>
          <w:i/>
        </w:rPr>
        <w:t>Imagining SoTL</w:t>
      </w:r>
      <w:r w:rsidRPr="00A81908">
        <w:t xml:space="preserve"> uses the strange hybrid known as Canadian spelling, which blends British and American spelling. </w:t>
      </w:r>
      <w:r>
        <w:t>Please follow these examples:</w:t>
      </w:r>
    </w:p>
    <w:p w14:paraId="7DE19C2D" w14:textId="77777777" w:rsidR="00FD2F24" w:rsidRDefault="00FD2F24" w:rsidP="00037F8B"/>
    <w:p w14:paraId="203D56DC" w14:textId="34D06B5C" w:rsidR="00A81908" w:rsidRDefault="00FD2F24" w:rsidP="00A81908">
      <w:pPr>
        <w:pStyle w:val="ListParagraph"/>
        <w:numPr>
          <w:ilvl w:val="0"/>
          <w:numId w:val="1"/>
        </w:numPr>
      </w:pPr>
      <w:r>
        <w:t xml:space="preserve">Use British spelling for words ending in “our” (e.g., </w:t>
      </w:r>
      <w:proofErr w:type="spellStart"/>
      <w:r>
        <w:t>colour</w:t>
      </w:r>
      <w:proofErr w:type="spellEnd"/>
      <w:r>
        <w:t xml:space="preserve">) and “re” (e.g. </w:t>
      </w:r>
      <w:proofErr w:type="spellStart"/>
      <w:r>
        <w:t>centre</w:t>
      </w:r>
      <w:proofErr w:type="spellEnd"/>
      <w:r>
        <w:t xml:space="preserve">). </w:t>
      </w:r>
    </w:p>
    <w:p w14:paraId="3D753B8B" w14:textId="77777777" w:rsidR="00A81908" w:rsidRDefault="00FD2F24" w:rsidP="00A81908">
      <w:pPr>
        <w:pStyle w:val="ListParagraph"/>
        <w:numPr>
          <w:ilvl w:val="0"/>
          <w:numId w:val="1"/>
        </w:numPr>
      </w:pPr>
      <w:r>
        <w:t>Use American spelling for words ending in “</w:t>
      </w:r>
      <w:proofErr w:type="spellStart"/>
      <w:r>
        <w:t>ize</w:t>
      </w:r>
      <w:proofErr w:type="spellEnd"/>
      <w:r>
        <w:t xml:space="preserve">” (e.g. legalize). </w:t>
      </w:r>
    </w:p>
    <w:p w14:paraId="45A801BD" w14:textId="47D9E5F4" w:rsidR="00A81908" w:rsidRDefault="00A81908" w:rsidP="00A81908">
      <w:pPr>
        <w:pStyle w:val="ListParagraph"/>
        <w:numPr>
          <w:ilvl w:val="0"/>
          <w:numId w:val="1"/>
        </w:numPr>
      </w:pPr>
      <w:r>
        <w:t>Use American spelling for “practice” (i.e., both the verb and the noun should end in “</w:t>
      </w:r>
      <w:proofErr w:type="spellStart"/>
      <w:r>
        <w:t>ce</w:t>
      </w:r>
      <w:proofErr w:type="spellEnd"/>
      <w:r>
        <w:t xml:space="preserve">”) and “defense” </w:t>
      </w:r>
    </w:p>
    <w:p w14:paraId="533162D5" w14:textId="557A0894" w:rsidR="00D24425" w:rsidRDefault="00FD2F24" w:rsidP="00A81908">
      <w:pPr>
        <w:pStyle w:val="ListParagraph"/>
        <w:numPr>
          <w:ilvl w:val="0"/>
          <w:numId w:val="1"/>
        </w:numPr>
      </w:pPr>
      <w:r>
        <w:t>If including a proper noun, use the original spelling.</w:t>
      </w:r>
    </w:p>
    <w:p w14:paraId="28A96238" w14:textId="77777777" w:rsidR="00E93174" w:rsidRDefault="00E93174" w:rsidP="00037F8B"/>
    <w:p w14:paraId="0529B3D9" w14:textId="77777777" w:rsidR="00E93174" w:rsidRDefault="00E93174" w:rsidP="00037F8B">
      <w:r>
        <w:t>Use gender-neutral, non-discriminatory language.</w:t>
      </w:r>
    </w:p>
    <w:p w14:paraId="2BE53378" w14:textId="77777777" w:rsidR="00E93174" w:rsidRDefault="00E93174" w:rsidP="00037F8B"/>
    <w:p w14:paraId="12F45FCF" w14:textId="77777777" w:rsidR="00A8480C" w:rsidRDefault="00E93174" w:rsidP="00A8480C">
      <w:r>
        <w:rPr>
          <w:b/>
        </w:rPr>
        <w:t>Numbers and Dates</w:t>
      </w:r>
      <w:r w:rsidR="00A8480C" w:rsidRPr="00A8480C">
        <w:t xml:space="preserve"> </w:t>
      </w:r>
    </w:p>
    <w:p w14:paraId="440C3A2D" w14:textId="77777777" w:rsidR="00A8480C" w:rsidRDefault="00A8480C" w:rsidP="00A8480C"/>
    <w:p w14:paraId="2420B01C" w14:textId="67C1BB88" w:rsidR="00A8480C" w:rsidRDefault="00672A5A" w:rsidP="00A8480C">
      <w:r>
        <w:t>Spell out numbers less than 10 unless they are used in the same sentence with larger numeral</w:t>
      </w:r>
      <w:r w:rsidR="00511BD9">
        <w:t>s</w:t>
      </w:r>
      <w:r>
        <w:t xml:space="preserve"> or unless </w:t>
      </w:r>
      <w:r w:rsidR="00A8480C">
        <w:t>the number refers to a section, page number, currency, time, measure, weight, or percentage.</w:t>
      </w:r>
    </w:p>
    <w:p w14:paraId="5A17AADF" w14:textId="77777777" w:rsidR="00672A5A" w:rsidRDefault="00672A5A" w:rsidP="00A8480C"/>
    <w:p w14:paraId="590314CA" w14:textId="74CA9BE9" w:rsidR="00672A5A" w:rsidRDefault="00672A5A" w:rsidP="00A8480C">
      <w:r>
        <w:t>Always use the % sign with numerals (67%; not 67 percent)</w:t>
      </w:r>
    </w:p>
    <w:p w14:paraId="66415E46" w14:textId="77777777" w:rsidR="00672A5A" w:rsidRDefault="00672A5A" w:rsidP="00A8480C"/>
    <w:p w14:paraId="1BCC3CD9" w14:textId="4F264785" w:rsidR="00672A5A" w:rsidRDefault="00672A5A" w:rsidP="00A8480C">
      <w:r>
        <w:t>If a numeral appears at the beginning of a sentence, spell it out.</w:t>
      </w:r>
    </w:p>
    <w:p w14:paraId="55022A86" w14:textId="77777777" w:rsidR="00672A5A" w:rsidRDefault="00672A5A" w:rsidP="00A8480C"/>
    <w:p w14:paraId="0A92A84A" w14:textId="1F770451" w:rsidR="00672A5A" w:rsidRDefault="00672A5A" w:rsidP="00672A5A">
      <w:pPr>
        <w:ind w:left="720" w:hanging="720"/>
      </w:pPr>
      <w:r>
        <w:tab/>
        <w:t>Example: Thirty-two of the students mentioned that they enjoyed collaborating with other students on the project.</w:t>
      </w:r>
    </w:p>
    <w:p w14:paraId="1510DAE5" w14:textId="77777777" w:rsidR="00C00ADE" w:rsidRDefault="00C00ADE" w:rsidP="00A8480C"/>
    <w:p w14:paraId="42AA49ED" w14:textId="77777777" w:rsidR="00C00ADE" w:rsidRDefault="00C00ADE" w:rsidP="00A8480C">
      <w:r>
        <w:t>Write dates as January 31, 2021, in the nineteenth century, in the 1990s.</w:t>
      </w:r>
    </w:p>
    <w:p w14:paraId="2D1B060A" w14:textId="77777777" w:rsidR="00E93174" w:rsidRDefault="00E93174" w:rsidP="00037F8B">
      <w:pPr>
        <w:rPr>
          <w:b/>
        </w:rPr>
      </w:pPr>
    </w:p>
    <w:p w14:paraId="00C3690E" w14:textId="34D2E1F7" w:rsidR="00E93174" w:rsidRDefault="00672A5A" w:rsidP="00037F8B">
      <w:pPr>
        <w:rPr>
          <w:b/>
        </w:rPr>
      </w:pPr>
      <w:r>
        <w:rPr>
          <w:b/>
        </w:rPr>
        <w:t xml:space="preserve">Acronyms and </w:t>
      </w:r>
      <w:r w:rsidR="00E93174" w:rsidRPr="00E93174">
        <w:rPr>
          <w:b/>
        </w:rPr>
        <w:t>Abbreviations</w:t>
      </w:r>
    </w:p>
    <w:p w14:paraId="557EACD7" w14:textId="77777777" w:rsidR="00672A5A" w:rsidRDefault="00672A5A" w:rsidP="00037F8B">
      <w:pPr>
        <w:rPr>
          <w:b/>
        </w:rPr>
      </w:pPr>
    </w:p>
    <w:p w14:paraId="0D026949" w14:textId="3BC22000" w:rsidR="00E93174" w:rsidRDefault="00123EC6" w:rsidP="00037F8B">
      <w:r>
        <w:t>If using an acronym in your article, spell out the full name the first time you mention it, followed by the acronym in parentheses. Then use the acronym for all subsequent mentions.</w:t>
      </w:r>
    </w:p>
    <w:p w14:paraId="215273D9" w14:textId="77777777" w:rsidR="00D35A69" w:rsidRDefault="00D35A69" w:rsidP="00037F8B"/>
    <w:p w14:paraId="308DC374" w14:textId="33FA3396" w:rsidR="00E93174" w:rsidRDefault="00E93174" w:rsidP="00037F8B">
      <w:r>
        <w:tab/>
      </w:r>
      <w:r w:rsidR="00672A5A">
        <w:t>Example</w:t>
      </w:r>
      <w:r>
        <w:t>: World Health Organization (WHO)</w:t>
      </w:r>
    </w:p>
    <w:p w14:paraId="498FF9E1" w14:textId="77777777" w:rsidR="00E93174" w:rsidRDefault="00E93174" w:rsidP="00037F8B"/>
    <w:p w14:paraId="3372042E" w14:textId="23D7950E" w:rsidR="00A8480C" w:rsidRDefault="00E93174" w:rsidP="00037F8B">
      <w:r>
        <w:t>Do not</w:t>
      </w:r>
      <w:r w:rsidR="00123EC6">
        <w:t xml:space="preserve"> use periods for abbreviations</w:t>
      </w:r>
    </w:p>
    <w:p w14:paraId="27567BC4" w14:textId="77777777" w:rsidR="00D35A69" w:rsidRDefault="00D35A69" w:rsidP="00037F8B">
      <w:r>
        <w:tab/>
      </w:r>
    </w:p>
    <w:p w14:paraId="207DF31C" w14:textId="3BD6D550" w:rsidR="00123EC6" w:rsidRDefault="00D35A69" w:rsidP="00037F8B">
      <w:r>
        <w:lastRenderedPageBreak/>
        <w:tab/>
      </w:r>
      <w:r w:rsidR="00672A5A">
        <w:t>Example</w:t>
      </w:r>
      <w:r w:rsidR="00123EC6">
        <w:t>: US, UK, BC, etc.</w:t>
      </w:r>
    </w:p>
    <w:p w14:paraId="38173194" w14:textId="77777777" w:rsidR="00D24425" w:rsidRDefault="00D24425" w:rsidP="00037F8B"/>
    <w:p w14:paraId="6CD5BE93" w14:textId="77777777" w:rsidR="00D24425" w:rsidRDefault="00C00ADE" w:rsidP="00037F8B">
      <w:pPr>
        <w:rPr>
          <w:b/>
        </w:rPr>
      </w:pPr>
      <w:r w:rsidRPr="00C00ADE">
        <w:rPr>
          <w:b/>
        </w:rPr>
        <w:t>Quotations</w:t>
      </w:r>
    </w:p>
    <w:p w14:paraId="5EFCF600" w14:textId="77777777" w:rsidR="00C00ADE" w:rsidRDefault="00C00ADE" w:rsidP="00037F8B">
      <w:pPr>
        <w:rPr>
          <w:b/>
        </w:rPr>
      </w:pPr>
    </w:p>
    <w:p w14:paraId="29764DB8" w14:textId="77777777" w:rsidR="00C00ADE" w:rsidRDefault="00C00ADE" w:rsidP="00037F8B">
      <w:r w:rsidRPr="00C00ADE">
        <w:t>Use double q</w:t>
      </w:r>
      <w:r>
        <w:t>uotation marks for direct quotations</w:t>
      </w:r>
      <w:r w:rsidRPr="00C00ADE">
        <w:t xml:space="preserve"> and single quotation marks for </w:t>
      </w:r>
      <w:r>
        <w:t>quotations within quotations.</w:t>
      </w:r>
    </w:p>
    <w:p w14:paraId="46EEAE14" w14:textId="77777777" w:rsidR="00E832F6" w:rsidRDefault="00E832F6" w:rsidP="00037F8B"/>
    <w:p w14:paraId="3A905F04" w14:textId="77777777" w:rsidR="00C00ADE" w:rsidRPr="00C00ADE" w:rsidRDefault="00C00ADE" w:rsidP="00037F8B">
      <w:r w:rsidRPr="00C00ADE">
        <w:t>Any quotation of 40 words or more should be treated as a block quotation. Do not use quotation marks for block quotations, but rather indent them 1.27 cm.</w:t>
      </w:r>
    </w:p>
    <w:p w14:paraId="4F99E7C1" w14:textId="77777777" w:rsidR="00D24425" w:rsidRDefault="00D24425" w:rsidP="00037F8B"/>
    <w:p w14:paraId="5E5CC601" w14:textId="77777777" w:rsidR="00155AD6" w:rsidRDefault="00155AD6" w:rsidP="00037F8B">
      <w:r>
        <w:t>If omitting words from the middle of a quotation, use an ellipsis to replace the omitted words. Do not place square brackets around the ellipsis or use an ellipsis for words omitted at the beginning or end of a quotation.</w:t>
      </w:r>
    </w:p>
    <w:p w14:paraId="28250DF9" w14:textId="77777777" w:rsidR="00155AD6" w:rsidRDefault="00155AD6" w:rsidP="00037F8B"/>
    <w:p w14:paraId="3095DBBB" w14:textId="6DEC414E" w:rsidR="00155AD6" w:rsidRPr="00D24425" w:rsidRDefault="00155AD6" w:rsidP="00037F8B">
      <w:r>
        <w:t xml:space="preserve">Use square brackets to </w:t>
      </w:r>
      <w:r w:rsidR="00E832F6">
        <w:t>indicate</w:t>
      </w:r>
      <w:r>
        <w:t xml:space="preserve"> any alterations or additions made to a quotation. Use [</w:t>
      </w:r>
      <w:r w:rsidRPr="00511BD9">
        <w:rPr>
          <w:i/>
        </w:rPr>
        <w:t>sic</w:t>
      </w:r>
      <w:r>
        <w:t>] to indicate an obvious error in quoted material.</w:t>
      </w:r>
      <w:r w:rsidR="00E832F6">
        <w:t xml:space="preserve"> </w:t>
      </w:r>
      <w:r w:rsidR="00511BD9">
        <w:t>Place</w:t>
      </w:r>
      <w:r w:rsidR="00E832F6">
        <w:t xml:space="preserve"> [</w:t>
      </w:r>
      <w:r w:rsidR="00E832F6" w:rsidRPr="00511BD9">
        <w:rPr>
          <w:i/>
        </w:rPr>
        <w:t>sic</w:t>
      </w:r>
      <w:r w:rsidR="00E832F6">
        <w:t>] immediately after the error.</w:t>
      </w:r>
    </w:p>
    <w:p w14:paraId="001B5959" w14:textId="77777777" w:rsidR="001814D5" w:rsidRDefault="001814D5" w:rsidP="00037F8B"/>
    <w:p w14:paraId="343F5897" w14:textId="77777777" w:rsidR="00155AD6" w:rsidRDefault="00155AD6" w:rsidP="00037F8B">
      <w:pPr>
        <w:rPr>
          <w:b/>
        </w:rPr>
      </w:pPr>
      <w:r w:rsidRPr="00155AD6">
        <w:rPr>
          <w:b/>
        </w:rPr>
        <w:t>Tables and Figures</w:t>
      </w:r>
    </w:p>
    <w:p w14:paraId="13AC2CCB" w14:textId="77777777" w:rsidR="00535FB9" w:rsidRDefault="00535FB9" w:rsidP="00037F8B">
      <w:pPr>
        <w:rPr>
          <w:b/>
        </w:rPr>
      </w:pPr>
    </w:p>
    <w:p w14:paraId="4F3F1141" w14:textId="23DBDD70" w:rsidR="00535FB9" w:rsidRPr="00535FB9" w:rsidRDefault="00535FB9" w:rsidP="00037F8B">
      <w:r w:rsidRPr="00535FB9">
        <w:t>Tables and figures should appear as close as possible to the text to which they relate.</w:t>
      </w:r>
    </w:p>
    <w:p w14:paraId="20DD9329" w14:textId="77777777" w:rsidR="00535FB9" w:rsidRPr="00535FB9" w:rsidRDefault="00535FB9" w:rsidP="00037F8B"/>
    <w:p w14:paraId="6F634237" w14:textId="1CA8CD14" w:rsidR="00535FB9" w:rsidRPr="00535FB9" w:rsidRDefault="00535FB9" w:rsidP="00037F8B">
      <w:r w:rsidRPr="00535FB9">
        <w:t>When referring to a table or figure, use its number, rather than referring to “the table below” or “the figure on page 5.”</w:t>
      </w:r>
    </w:p>
    <w:p w14:paraId="12D029CC" w14:textId="77777777" w:rsidR="00535FB9" w:rsidRPr="00535FB9" w:rsidRDefault="00535FB9" w:rsidP="00037F8B"/>
    <w:p w14:paraId="56E02D0F" w14:textId="1F179109" w:rsidR="00535FB9" w:rsidRDefault="00535FB9" w:rsidP="00535FB9">
      <w:pPr>
        <w:ind w:left="720"/>
      </w:pPr>
      <w:r w:rsidRPr="00535FB9">
        <w:t xml:space="preserve">Example: </w:t>
      </w:r>
      <w:r w:rsidR="007E3F12">
        <w:t>Figure 1 demonstrates the difference in student response times to these various question types.</w:t>
      </w:r>
    </w:p>
    <w:p w14:paraId="24DDF4C4" w14:textId="77777777" w:rsidR="003A3C73" w:rsidRDefault="003A3C73" w:rsidP="00535FB9">
      <w:pPr>
        <w:ind w:left="720"/>
      </w:pPr>
    </w:p>
    <w:p w14:paraId="7203D3C0" w14:textId="3ED3A3F0" w:rsidR="003A3C73" w:rsidRDefault="003A3C73" w:rsidP="003A3C73">
      <w:r>
        <w:t>The table or figure number should appear in bold, followed by the title, on the next line, in italics (title case). Any notes should appear below the table or figure.</w:t>
      </w:r>
    </w:p>
    <w:p w14:paraId="26991B3D" w14:textId="77777777" w:rsidR="003A3C73" w:rsidRDefault="003A3C73" w:rsidP="00535FB9">
      <w:pPr>
        <w:ind w:left="720"/>
      </w:pPr>
    </w:p>
    <w:p w14:paraId="2F28CA19" w14:textId="77777777" w:rsidR="003A3C73" w:rsidRDefault="003A3C73" w:rsidP="003A3C73">
      <w:r w:rsidRPr="00170E13">
        <w:rPr>
          <w:b/>
          <w:bCs/>
        </w:rPr>
        <w:t>Table 1</w:t>
      </w:r>
      <w:r w:rsidRPr="00170E13">
        <w:t xml:space="preserve"> </w:t>
      </w:r>
    </w:p>
    <w:p w14:paraId="4ADDFE71" w14:textId="77777777" w:rsidR="003A3C73" w:rsidRDefault="003A3C73" w:rsidP="003A3C73">
      <w:pPr>
        <w:rPr>
          <w:i/>
        </w:rPr>
      </w:pPr>
      <w:r w:rsidRPr="00AB19FF">
        <w:rPr>
          <w:i/>
        </w:rPr>
        <w:t>Examination Performance Is Unaffected by SRS Question Type Used for Formative Assessment</w:t>
      </w:r>
    </w:p>
    <w:p w14:paraId="41771B54" w14:textId="77777777" w:rsidR="003A3C73" w:rsidRPr="00AB19FF" w:rsidRDefault="003A3C73" w:rsidP="003A3C73">
      <w:pPr>
        <w:rPr>
          <w:i/>
        </w:rPr>
      </w:pPr>
    </w:p>
    <w:tbl>
      <w:tblPr>
        <w:tblStyle w:val="TableGrid"/>
        <w:tblW w:w="7834" w:type="dxa"/>
        <w:tblLook w:val="0600" w:firstRow="0" w:lastRow="0" w:firstColumn="0" w:lastColumn="0" w:noHBand="1" w:noVBand="1"/>
      </w:tblPr>
      <w:tblGrid>
        <w:gridCol w:w="2016"/>
        <w:gridCol w:w="1039"/>
        <w:gridCol w:w="1185"/>
        <w:gridCol w:w="1399"/>
        <w:gridCol w:w="1029"/>
        <w:gridCol w:w="1166"/>
      </w:tblGrid>
      <w:tr w:rsidR="003A3C73" w:rsidRPr="00A92BAC" w14:paraId="1876E359" w14:textId="77777777" w:rsidTr="009B663D">
        <w:trPr>
          <w:trHeight w:val="186"/>
        </w:trPr>
        <w:tc>
          <w:tcPr>
            <w:tcW w:w="2016" w:type="dxa"/>
            <w:tcBorders>
              <w:bottom w:val="double" w:sz="4" w:space="0" w:color="000000"/>
            </w:tcBorders>
            <w:vAlign w:val="center"/>
            <w:hideMark/>
          </w:tcPr>
          <w:p w14:paraId="11603D09"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 xml:space="preserve">Calculation </w:t>
            </w:r>
            <w:r w:rsidRPr="00A92BAC">
              <w:rPr>
                <w:rFonts w:ascii="Times New Roman" w:hAnsi="Times New Roman" w:cs="Times New Roman"/>
                <w:sz w:val="18"/>
                <w:szCs w:val="18"/>
              </w:rPr>
              <w:br/>
              <w:t>Category</w:t>
            </w:r>
          </w:p>
        </w:tc>
        <w:tc>
          <w:tcPr>
            <w:tcW w:w="1039" w:type="dxa"/>
            <w:tcBorders>
              <w:bottom w:val="double" w:sz="4" w:space="0" w:color="000000"/>
            </w:tcBorders>
            <w:vAlign w:val="center"/>
            <w:hideMark/>
          </w:tcPr>
          <w:p w14:paraId="34123BB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Term</w:t>
            </w:r>
          </w:p>
        </w:tc>
        <w:tc>
          <w:tcPr>
            <w:tcW w:w="1185" w:type="dxa"/>
            <w:tcBorders>
              <w:bottom w:val="double" w:sz="4" w:space="0" w:color="000000"/>
            </w:tcBorders>
            <w:vAlign w:val="center"/>
            <w:hideMark/>
          </w:tcPr>
          <w:p w14:paraId="3A8AA7B7"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Correct</w:t>
            </w:r>
          </w:p>
        </w:tc>
        <w:tc>
          <w:tcPr>
            <w:tcW w:w="1399" w:type="dxa"/>
            <w:tcBorders>
              <w:bottom w:val="double" w:sz="4" w:space="0" w:color="000000"/>
            </w:tcBorders>
            <w:vAlign w:val="center"/>
            <w:hideMark/>
          </w:tcPr>
          <w:p w14:paraId="7450DA17"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Incorrect</w:t>
            </w:r>
          </w:p>
        </w:tc>
        <w:tc>
          <w:tcPr>
            <w:tcW w:w="1029" w:type="dxa"/>
            <w:tcBorders>
              <w:bottom w:val="double" w:sz="4" w:space="0" w:color="000000"/>
            </w:tcBorders>
            <w:vAlign w:val="center"/>
            <w:hideMark/>
          </w:tcPr>
          <w:p w14:paraId="5CCB908D"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Total</w:t>
            </w:r>
          </w:p>
        </w:tc>
        <w:tc>
          <w:tcPr>
            <w:tcW w:w="1166" w:type="dxa"/>
            <w:tcBorders>
              <w:bottom w:val="double" w:sz="4" w:space="0" w:color="000000"/>
            </w:tcBorders>
            <w:vAlign w:val="center"/>
            <w:hideMark/>
          </w:tcPr>
          <w:p w14:paraId="08755628"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 correct</w:t>
            </w:r>
          </w:p>
        </w:tc>
      </w:tr>
      <w:tr w:rsidR="003A3C73" w:rsidRPr="00A92BAC" w14:paraId="31F62759" w14:textId="77777777" w:rsidTr="009B663D">
        <w:trPr>
          <w:trHeight w:val="186"/>
        </w:trPr>
        <w:tc>
          <w:tcPr>
            <w:tcW w:w="2016" w:type="dxa"/>
            <w:vMerge w:val="restart"/>
            <w:tcBorders>
              <w:top w:val="double" w:sz="4" w:space="0" w:color="000000"/>
            </w:tcBorders>
            <w:vAlign w:val="center"/>
            <w:hideMark/>
          </w:tcPr>
          <w:p w14:paraId="23FC8442"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Control</w:t>
            </w:r>
          </w:p>
        </w:tc>
        <w:tc>
          <w:tcPr>
            <w:tcW w:w="1039" w:type="dxa"/>
            <w:tcBorders>
              <w:top w:val="double" w:sz="4" w:space="0" w:color="000000"/>
            </w:tcBorders>
            <w:hideMark/>
          </w:tcPr>
          <w:p w14:paraId="296A90EC"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1 – NRQ</w:t>
            </w:r>
          </w:p>
        </w:tc>
        <w:tc>
          <w:tcPr>
            <w:tcW w:w="1185" w:type="dxa"/>
            <w:tcBorders>
              <w:top w:val="double" w:sz="4" w:space="0" w:color="000000"/>
            </w:tcBorders>
            <w:hideMark/>
          </w:tcPr>
          <w:p w14:paraId="7846895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519</w:t>
            </w:r>
          </w:p>
        </w:tc>
        <w:tc>
          <w:tcPr>
            <w:tcW w:w="1399" w:type="dxa"/>
            <w:tcBorders>
              <w:top w:val="double" w:sz="4" w:space="0" w:color="000000"/>
            </w:tcBorders>
            <w:hideMark/>
          </w:tcPr>
          <w:p w14:paraId="4510E0F8"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172</w:t>
            </w:r>
          </w:p>
        </w:tc>
        <w:tc>
          <w:tcPr>
            <w:tcW w:w="1029" w:type="dxa"/>
            <w:tcBorders>
              <w:top w:val="double" w:sz="4" w:space="0" w:color="000000"/>
            </w:tcBorders>
            <w:hideMark/>
          </w:tcPr>
          <w:p w14:paraId="339373D2"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691</w:t>
            </w:r>
          </w:p>
        </w:tc>
        <w:tc>
          <w:tcPr>
            <w:tcW w:w="1166" w:type="dxa"/>
            <w:tcBorders>
              <w:top w:val="double" w:sz="4" w:space="0" w:color="000000"/>
            </w:tcBorders>
            <w:hideMark/>
          </w:tcPr>
          <w:p w14:paraId="3ACEFE14"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75.1%</w:t>
            </w:r>
          </w:p>
        </w:tc>
      </w:tr>
      <w:tr w:rsidR="003A3C73" w:rsidRPr="00A92BAC" w14:paraId="07F65D3E" w14:textId="77777777" w:rsidTr="009B663D">
        <w:trPr>
          <w:trHeight w:val="186"/>
        </w:trPr>
        <w:tc>
          <w:tcPr>
            <w:tcW w:w="0" w:type="auto"/>
            <w:vMerge/>
            <w:tcBorders>
              <w:bottom w:val="single" w:sz="4" w:space="0" w:color="000000"/>
            </w:tcBorders>
            <w:vAlign w:val="center"/>
            <w:hideMark/>
          </w:tcPr>
          <w:p w14:paraId="4B505241" w14:textId="77777777" w:rsidR="003A3C73" w:rsidRPr="00A92BAC" w:rsidRDefault="003A3C73" w:rsidP="009B663D">
            <w:pPr>
              <w:spacing w:after="160" w:line="259" w:lineRule="auto"/>
              <w:jc w:val="center"/>
              <w:rPr>
                <w:rFonts w:ascii="Times New Roman" w:hAnsi="Times New Roman" w:cs="Times New Roman"/>
                <w:sz w:val="18"/>
                <w:szCs w:val="18"/>
              </w:rPr>
            </w:pPr>
          </w:p>
        </w:tc>
        <w:tc>
          <w:tcPr>
            <w:tcW w:w="1039" w:type="dxa"/>
            <w:tcBorders>
              <w:bottom w:val="single" w:sz="4" w:space="0" w:color="000000"/>
            </w:tcBorders>
            <w:hideMark/>
          </w:tcPr>
          <w:p w14:paraId="6370680B"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 – NRQ</w:t>
            </w:r>
          </w:p>
        </w:tc>
        <w:tc>
          <w:tcPr>
            <w:tcW w:w="1185" w:type="dxa"/>
            <w:tcBorders>
              <w:bottom w:val="single" w:sz="4" w:space="0" w:color="000000"/>
            </w:tcBorders>
            <w:hideMark/>
          </w:tcPr>
          <w:p w14:paraId="6A54656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632</w:t>
            </w:r>
          </w:p>
        </w:tc>
        <w:tc>
          <w:tcPr>
            <w:tcW w:w="1399" w:type="dxa"/>
            <w:tcBorders>
              <w:bottom w:val="single" w:sz="4" w:space="0" w:color="000000"/>
            </w:tcBorders>
            <w:hideMark/>
          </w:tcPr>
          <w:p w14:paraId="42C41B55"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216</w:t>
            </w:r>
          </w:p>
        </w:tc>
        <w:tc>
          <w:tcPr>
            <w:tcW w:w="1029" w:type="dxa"/>
            <w:tcBorders>
              <w:bottom w:val="single" w:sz="4" w:space="0" w:color="000000"/>
            </w:tcBorders>
            <w:hideMark/>
          </w:tcPr>
          <w:p w14:paraId="785954B5"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848</w:t>
            </w:r>
          </w:p>
        </w:tc>
        <w:tc>
          <w:tcPr>
            <w:tcW w:w="1166" w:type="dxa"/>
            <w:tcBorders>
              <w:bottom w:val="single" w:sz="4" w:space="0" w:color="000000"/>
            </w:tcBorders>
            <w:hideMark/>
          </w:tcPr>
          <w:p w14:paraId="161392E0"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74.5%</w:t>
            </w:r>
          </w:p>
        </w:tc>
      </w:tr>
      <w:tr w:rsidR="003A3C73" w:rsidRPr="00A92BAC" w14:paraId="26415C45" w14:textId="77777777" w:rsidTr="009B663D">
        <w:trPr>
          <w:trHeight w:val="186"/>
        </w:trPr>
        <w:tc>
          <w:tcPr>
            <w:tcW w:w="2016" w:type="dxa"/>
            <w:vMerge w:val="restart"/>
            <w:tcBorders>
              <w:top w:val="single" w:sz="4" w:space="0" w:color="000000"/>
            </w:tcBorders>
            <w:vAlign w:val="center"/>
            <w:hideMark/>
          </w:tcPr>
          <w:p w14:paraId="1163BA0A"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Chemistry</w:t>
            </w:r>
          </w:p>
        </w:tc>
        <w:tc>
          <w:tcPr>
            <w:tcW w:w="1039" w:type="dxa"/>
            <w:tcBorders>
              <w:top w:val="single" w:sz="4" w:space="0" w:color="000000"/>
            </w:tcBorders>
            <w:hideMark/>
          </w:tcPr>
          <w:p w14:paraId="39E4D30C"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1 – MCQ</w:t>
            </w:r>
          </w:p>
        </w:tc>
        <w:tc>
          <w:tcPr>
            <w:tcW w:w="1185" w:type="dxa"/>
            <w:tcBorders>
              <w:top w:val="single" w:sz="4" w:space="0" w:color="000000"/>
            </w:tcBorders>
            <w:hideMark/>
          </w:tcPr>
          <w:p w14:paraId="1A813CCB"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525</w:t>
            </w:r>
          </w:p>
        </w:tc>
        <w:tc>
          <w:tcPr>
            <w:tcW w:w="1399" w:type="dxa"/>
            <w:tcBorders>
              <w:top w:val="single" w:sz="4" w:space="0" w:color="000000"/>
            </w:tcBorders>
            <w:hideMark/>
          </w:tcPr>
          <w:p w14:paraId="6B05EB85"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290</w:t>
            </w:r>
          </w:p>
        </w:tc>
        <w:tc>
          <w:tcPr>
            <w:tcW w:w="1029" w:type="dxa"/>
            <w:tcBorders>
              <w:top w:val="single" w:sz="4" w:space="0" w:color="000000"/>
            </w:tcBorders>
            <w:hideMark/>
          </w:tcPr>
          <w:p w14:paraId="5D293ADC"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815</w:t>
            </w:r>
          </w:p>
        </w:tc>
        <w:tc>
          <w:tcPr>
            <w:tcW w:w="1166" w:type="dxa"/>
            <w:tcBorders>
              <w:top w:val="single" w:sz="4" w:space="0" w:color="000000"/>
            </w:tcBorders>
            <w:hideMark/>
          </w:tcPr>
          <w:p w14:paraId="11C3F958"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64.4%</w:t>
            </w:r>
          </w:p>
        </w:tc>
      </w:tr>
      <w:tr w:rsidR="003A3C73" w:rsidRPr="00A92BAC" w14:paraId="16B9EFB6" w14:textId="77777777" w:rsidTr="009B663D">
        <w:trPr>
          <w:trHeight w:val="186"/>
        </w:trPr>
        <w:tc>
          <w:tcPr>
            <w:tcW w:w="0" w:type="auto"/>
            <w:vMerge/>
            <w:tcBorders>
              <w:bottom w:val="single" w:sz="4" w:space="0" w:color="000000"/>
            </w:tcBorders>
            <w:vAlign w:val="center"/>
            <w:hideMark/>
          </w:tcPr>
          <w:p w14:paraId="347D787E" w14:textId="77777777" w:rsidR="003A3C73" w:rsidRPr="00A92BAC" w:rsidRDefault="003A3C73" w:rsidP="009B663D">
            <w:pPr>
              <w:spacing w:after="160" w:line="259" w:lineRule="auto"/>
              <w:jc w:val="center"/>
              <w:rPr>
                <w:rFonts w:ascii="Times New Roman" w:hAnsi="Times New Roman" w:cs="Times New Roman"/>
                <w:sz w:val="18"/>
                <w:szCs w:val="18"/>
              </w:rPr>
            </w:pPr>
          </w:p>
        </w:tc>
        <w:tc>
          <w:tcPr>
            <w:tcW w:w="1039" w:type="dxa"/>
            <w:tcBorders>
              <w:bottom w:val="single" w:sz="4" w:space="0" w:color="000000"/>
            </w:tcBorders>
            <w:hideMark/>
          </w:tcPr>
          <w:p w14:paraId="4C8440C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 – NRQ</w:t>
            </w:r>
          </w:p>
        </w:tc>
        <w:tc>
          <w:tcPr>
            <w:tcW w:w="1185" w:type="dxa"/>
            <w:tcBorders>
              <w:bottom w:val="single" w:sz="4" w:space="0" w:color="000000"/>
            </w:tcBorders>
            <w:hideMark/>
          </w:tcPr>
          <w:p w14:paraId="08B7002C"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631</w:t>
            </w:r>
          </w:p>
        </w:tc>
        <w:tc>
          <w:tcPr>
            <w:tcW w:w="1399" w:type="dxa"/>
            <w:tcBorders>
              <w:bottom w:val="single" w:sz="4" w:space="0" w:color="000000"/>
            </w:tcBorders>
            <w:hideMark/>
          </w:tcPr>
          <w:p w14:paraId="6F8E4996"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360</w:t>
            </w:r>
          </w:p>
        </w:tc>
        <w:tc>
          <w:tcPr>
            <w:tcW w:w="1029" w:type="dxa"/>
            <w:tcBorders>
              <w:bottom w:val="single" w:sz="4" w:space="0" w:color="000000"/>
            </w:tcBorders>
            <w:hideMark/>
          </w:tcPr>
          <w:p w14:paraId="40A9E2C6"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991</w:t>
            </w:r>
          </w:p>
        </w:tc>
        <w:tc>
          <w:tcPr>
            <w:tcW w:w="1166" w:type="dxa"/>
            <w:tcBorders>
              <w:bottom w:val="single" w:sz="4" w:space="0" w:color="000000"/>
            </w:tcBorders>
            <w:hideMark/>
          </w:tcPr>
          <w:p w14:paraId="506D9354"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63.7%</w:t>
            </w:r>
          </w:p>
        </w:tc>
      </w:tr>
      <w:tr w:rsidR="003A3C73" w:rsidRPr="00A92BAC" w14:paraId="05DBD746" w14:textId="77777777" w:rsidTr="009B663D">
        <w:trPr>
          <w:trHeight w:val="186"/>
        </w:trPr>
        <w:tc>
          <w:tcPr>
            <w:tcW w:w="2016" w:type="dxa"/>
            <w:vMerge w:val="restart"/>
            <w:tcBorders>
              <w:top w:val="single" w:sz="4" w:space="0" w:color="000000"/>
            </w:tcBorders>
            <w:vAlign w:val="center"/>
            <w:hideMark/>
          </w:tcPr>
          <w:p w14:paraId="762DC5B2"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Microbiology</w:t>
            </w:r>
          </w:p>
        </w:tc>
        <w:tc>
          <w:tcPr>
            <w:tcW w:w="1039" w:type="dxa"/>
            <w:tcBorders>
              <w:top w:val="single" w:sz="4" w:space="0" w:color="000000"/>
            </w:tcBorders>
            <w:hideMark/>
          </w:tcPr>
          <w:p w14:paraId="550640CA"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1 – NRQ</w:t>
            </w:r>
          </w:p>
        </w:tc>
        <w:tc>
          <w:tcPr>
            <w:tcW w:w="1185" w:type="dxa"/>
            <w:tcBorders>
              <w:top w:val="single" w:sz="4" w:space="0" w:color="000000"/>
            </w:tcBorders>
            <w:hideMark/>
          </w:tcPr>
          <w:p w14:paraId="6BF05A6D"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240</w:t>
            </w:r>
          </w:p>
        </w:tc>
        <w:tc>
          <w:tcPr>
            <w:tcW w:w="1399" w:type="dxa"/>
            <w:tcBorders>
              <w:top w:val="single" w:sz="4" w:space="0" w:color="000000"/>
            </w:tcBorders>
            <w:hideMark/>
          </w:tcPr>
          <w:p w14:paraId="7EC9E7A7"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224</w:t>
            </w:r>
          </w:p>
        </w:tc>
        <w:tc>
          <w:tcPr>
            <w:tcW w:w="1029" w:type="dxa"/>
            <w:tcBorders>
              <w:top w:val="single" w:sz="4" w:space="0" w:color="000000"/>
            </w:tcBorders>
            <w:hideMark/>
          </w:tcPr>
          <w:p w14:paraId="22C8ECC7"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464</w:t>
            </w:r>
          </w:p>
        </w:tc>
        <w:tc>
          <w:tcPr>
            <w:tcW w:w="1166" w:type="dxa"/>
            <w:tcBorders>
              <w:top w:val="single" w:sz="4" w:space="0" w:color="000000"/>
            </w:tcBorders>
            <w:hideMark/>
          </w:tcPr>
          <w:p w14:paraId="1130528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51.7%</w:t>
            </w:r>
          </w:p>
        </w:tc>
      </w:tr>
      <w:tr w:rsidR="003A3C73" w:rsidRPr="00A92BAC" w14:paraId="5B353FD0" w14:textId="77777777" w:rsidTr="009B663D">
        <w:trPr>
          <w:trHeight w:val="186"/>
        </w:trPr>
        <w:tc>
          <w:tcPr>
            <w:tcW w:w="0" w:type="auto"/>
            <w:vMerge/>
            <w:hideMark/>
          </w:tcPr>
          <w:p w14:paraId="5DDE490F" w14:textId="77777777" w:rsidR="003A3C73" w:rsidRPr="00A92BAC" w:rsidRDefault="003A3C73" w:rsidP="009B663D">
            <w:pPr>
              <w:spacing w:after="160" w:line="259" w:lineRule="auto"/>
              <w:jc w:val="center"/>
              <w:rPr>
                <w:rFonts w:ascii="Times New Roman" w:hAnsi="Times New Roman" w:cs="Times New Roman"/>
                <w:sz w:val="18"/>
                <w:szCs w:val="18"/>
              </w:rPr>
            </w:pPr>
          </w:p>
        </w:tc>
        <w:tc>
          <w:tcPr>
            <w:tcW w:w="1039" w:type="dxa"/>
            <w:hideMark/>
          </w:tcPr>
          <w:p w14:paraId="33A599DE"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 – MCQ</w:t>
            </w:r>
          </w:p>
        </w:tc>
        <w:tc>
          <w:tcPr>
            <w:tcW w:w="1185" w:type="dxa"/>
            <w:hideMark/>
          </w:tcPr>
          <w:p w14:paraId="730CB62F"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300</w:t>
            </w:r>
          </w:p>
        </w:tc>
        <w:tc>
          <w:tcPr>
            <w:tcW w:w="1399" w:type="dxa"/>
            <w:hideMark/>
          </w:tcPr>
          <w:p w14:paraId="49B60F6D"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266</w:t>
            </w:r>
          </w:p>
        </w:tc>
        <w:tc>
          <w:tcPr>
            <w:tcW w:w="1029" w:type="dxa"/>
            <w:hideMark/>
          </w:tcPr>
          <w:p w14:paraId="687AA73B"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566</w:t>
            </w:r>
          </w:p>
        </w:tc>
        <w:tc>
          <w:tcPr>
            <w:tcW w:w="1166" w:type="dxa"/>
            <w:hideMark/>
          </w:tcPr>
          <w:p w14:paraId="446E6C15" w14:textId="77777777" w:rsidR="003A3C73" w:rsidRPr="00A92BAC" w:rsidRDefault="003A3C73" w:rsidP="009B663D">
            <w:pPr>
              <w:spacing w:after="160" w:line="259" w:lineRule="auto"/>
              <w:jc w:val="center"/>
              <w:rPr>
                <w:rFonts w:ascii="Times New Roman" w:hAnsi="Times New Roman" w:cs="Times New Roman"/>
                <w:sz w:val="18"/>
                <w:szCs w:val="18"/>
              </w:rPr>
            </w:pPr>
            <w:r w:rsidRPr="00A92BAC">
              <w:rPr>
                <w:rFonts w:ascii="Times New Roman" w:hAnsi="Times New Roman" w:cs="Times New Roman"/>
                <w:sz w:val="18"/>
                <w:szCs w:val="18"/>
              </w:rPr>
              <w:t>53.0%</w:t>
            </w:r>
          </w:p>
        </w:tc>
      </w:tr>
    </w:tbl>
    <w:p w14:paraId="5AB6BACA" w14:textId="77777777" w:rsidR="003A3C73" w:rsidRDefault="003A3C73" w:rsidP="00535FB9">
      <w:pPr>
        <w:ind w:left="720"/>
      </w:pPr>
    </w:p>
    <w:p w14:paraId="4E18B4E6" w14:textId="77777777" w:rsidR="007E3F12" w:rsidRDefault="007E3F12" w:rsidP="00535FB9">
      <w:pPr>
        <w:ind w:left="720"/>
      </w:pPr>
    </w:p>
    <w:p w14:paraId="5844FDAF" w14:textId="77777777" w:rsidR="003A3C73" w:rsidRDefault="003A3C73" w:rsidP="007E3F12">
      <w:pPr>
        <w:spacing w:line="480" w:lineRule="auto"/>
        <w:rPr>
          <w:b/>
          <w:bCs/>
        </w:rPr>
      </w:pPr>
    </w:p>
    <w:p w14:paraId="554DA691" w14:textId="77777777" w:rsidR="00925772" w:rsidRDefault="007E3F12" w:rsidP="007E3F12">
      <w:pPr>
        <w:spacing w:line="480" w:lineRule="auto"/>
        <w:rPr>
          <w:b/>
          <w:bCs/>
        </w:rPr>
      </w:pPr>
      <w:r w:rsidRPr="00405231">
        <w:rPr>
          <w:b/>
          <w:bCs/>
        </w:rPr>
        <w:t>Figure 1</w:t>
      </w:r>
    </w:p>
    <w:p w14:paraId="630E524B" w14:textId="1EFBF8FF" w:rsidR="007E3F12" w:rsidRPr="00925772" w:rsidRDefault="007E3F12" w:rsidP="007E3F12">
      <w:pPr>
        <w:spacing w:line="480" w:lineRule="auto"/>
        <w:rPr>
          <w:b/>
          <w:bCs/>
        </w:rPr>
      </w:pPr>
      <w:r w:rsidRPr="00AB19FF">
        <w:rPr>
          <w:i/>
        </w:rPr>
        <w:t>Paired Questions and Student Response Times</w:t>
      </w:r>
    </w:p>
    <w:p w14:paraId="3777FC96" w14:textId="77777777" w:rsidR="007E3F12" w:rsidRPr="00170E13" w:rsidRDefault="007E3F12" w:rsidP="007E3F12">
      <w:r w:rsidRPr="00170E13">
        <w:rPr>
          <w:noProof/>
        </w:rPr>
        <w:drawing>
          <wp:inline distT="0" distB="0" distL="0" distR="0" wp14:anchorId="587D5305" wp14:editId="5AE6CB72">
            <wp:extent cx="5943600"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6849"/>
                    <a:stretch/>
                  </pic:blipFill>
                  <pic:spPr bwMode="auto">
                    <a:xfrm>
                      <a:off x="0" y="0"/>
                      <a:ext cx="5943600" cy="38862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121CB34" w14:textId="77777777" w:rsidR="007E3F12" w:rsidRDefault="007E3F12" w:rsidP="007E3F12">
      <w:r w:rsidRPr="00405231">
        <w:rPr>
          <w:bCs/>
          <w:i/>
        </w:rPr>
        <w:t>Note.</w:t>
      </w:r>
      <w:r w:rsidRPr="00170E13">
        <w:t xml:space="preserve"> Box and whisker plots show the mean response times and quartiles of student responses for six pairs of questions. Multiple choice questions</w:t>
      </w:r>
      <w:r>
        <w:t xml:space="preserve"> (MCQ)</w:t>
      </w:r>
      <w:r w:rsidRPr="00170E13">
        <w:t xml:space="preserve"> are shown in blue and numerical response questions</w:t>
      </w:r>
      <w:r>
        <w:t xml:space="preserve"> (NRQ)</w:t>
      </w:r>
      <w:r w:rsidRPr="00170E13">
        <w:t xml:space="preserve"> in green. In each pair the Term 1 cohort is on the top and Term 2 cohort is on the bottom. Paired sets shown with an asterisk (*) showed statistically significant variance in response times (P&lt;0.001) by ANOVA analysis. Control question variances were not significant (P&gt;0.05).</w:t>
      </w:r>
    </w:p>
    <w:p w14:paraId="02CECD75" w14:textId="77777777" w:rsidR="007E3F12" w:rsidRDefault="007E3F12" w:rsidP="007E3F12"/>
    <w:p w14:paraId="501F4D24" w14:textId="77777777" w:rsidR="007E3F12" w:rsidRDefault="007E3F12" w:rsidP="007E3F12">
      <w:pPr>
        <w:rPr>
          <w:b/>
          <w:bCs/>
        </w:rPr>
      </w:pPr>
    </w:p>
    <w:p w14:paraId="52ACC4E7" w14:textId="77777777" w:rsidR="007E3F12" w:rsidRPr="00170E13" w:rsidRDefault="007E3F12" w:rsidP="007E3F12"/>
    <w:p w14:paraId="2B3189DD" w14:textId="2898719F" w:rsidR="00155AD6" w:rsidRPr="006469E6" w:rsidRDefault="00155AD6" w:rsidP="00037F8B">
      <w:r>
        <w:rPr>
          <w:b/>
        </w:rPr>
        <w:t>References</w:t>
      </w:r>
    </w:p>
    <w:p w14:paraId="2682B422" w14:textId="77777777" w:rsidR="00155AD6" w:rsidRDefault="00155AD6" w:rsidP="00037F8B">
      <w:pPr>
        <w:rPr>
          <w:b/>
        </w:rPr>
      </w:pPr>
    </w:p>
    <w:p w14:paraId="7F4555D0" w14:textId="77777777" w:rsidR="00155AD6" w:rsidRDefault="00155AD6" w:rsidP="00037F8B">
      <w:r w:rsidRPr="00A93534">
        <w:rPr>
          <w:i/>
        </w:rPr>
        <w:t xml:space="preserve">Imagining SoTL </w:t>
      </w:r>
      <w:r w:rsidRPr="00A93534">
        <w:t>uses APA Style (7</w:t>
      </w:r>
      <w:r w:rsidRPr="00A93534">
        <w:rPr>
          <w:vertAlign w:val="superscript"/>
        </w:rPr>
        <w:t>th</w:t>
      </w:r>
      <w:r w:rsidRPr="00A93534">
        <w:t xml:space="preserve"> edition). </w:t>
      </w:r>
      <w:r w:rsidR="00A93534">
        <w:t>Please follow this format for all in-text citations, notes, and your references list.</w:t>
      </w:r>
    </w:p>
    <w:p w14:paraId="21FA081F" w14:textId="77777777" w:rsidR="00A93534" w:rsidRDefault="00A93534" w:rsidP="00037F8B"/>
    <w:p w14:paraId="101654F9" w14:textId="354C9959" w:rsidR="00A93534" w:rsidRDefault="00A93534" w:rsidP="00037F8B">
      <w:r>
        <w:t xml:space="preserve">Your </w:t>
      </w:r>
      <w:r w:rsidR="00E832F6">
        <w:t>list of references</w:t>
      </w:r>
      <w:r>
        <w:t xml:space="preserve"> should be called “References,” and </w:t>
      </w:r>
      <w:r w:rsidR="00E832F6">
        <w:t xml:space="preserve">it </w:t>
      </w:r>
      <w:r>
        <w:t>should only include works cited in your paper. The references list should be alphabetized, double-spaced, and formatted using a hanging indent of 1.27 cm.</w:t>
      </w:r>
    </w:p>
    <w:p w14:paraId="43C6816A" w14:textId="77777777" w:rsidR="00A93534" w:rsidRDefault="00A93534" w:rsidP="00037F8B"/>
    <w:p w14:paraId="315F98C0" w14:textId="6A40447E" w:rsidR="00A93534" w:rsidRDefault="005E4B68" w:rsidP="00037F8B">
      <w:r>
        <w:lastRenderedPageBreak/>
        <w:t>Here are sample references for some of the typical reference types</w:t>
      </w:r>
      <w:r w:rsidR="00A93534">
        <w:t xml:space="preserve">. For further examples, please see </w:t>
      </w:r>
      <w:r w:rsidR="003A3C73">
        <w:t xml:space="preserve">Chapter 10 of </w:t>
      </w:r>
      <w:r w:rsidR="00A93534">
        <w:t xml:space="preserve">the </w:t>
      </w:r>
      <w:r w:rsidR="00A93534" w:rsidRPr="005E4B68">
        <w:rPr>
          <w:i/>
        </w:rPr>
        <w:t>Publication Manual of the American Psychological Association</w:t>
      </w:r>
      <w:r w:rsidR="00A93534">
        <w:t xml:space="preserve"> (7</w:t>
      </w:r>
      <w:r w:rsidR="00A93534" w:rsidRPr="00A93534">
        <w:rPr>
          <w:vertAlign w:val="superscript"/>
        </w:rPr>
        <w:t>th</w:t>
      </w:r>
      <w:r w:rsidR="00A93534">
        <w:t xml:space="preserve"> edition)</w:t>
      </w:r>
      <w:r w:rsidR="003A3C73">
        <w:t xml:space="preserve"> or the following link:</w:t>
      </w:r>
    </w:p>
    <w:p w14:paraId="1096947F" w14:textId="77777777" w:rsidR="003A3C73" w:rsidRDefault="003A3C73" w:rsidP="00037F8B"/>
    <w:p w14:paraId="4789EB9D" w14:textId="0C426599" w:rsidR="003A3C73" w:rsidRDefault="00000000" w:rsidP="00037F8B">
      <w:hyperlink r:id="rId6" w:history="1">
        <w:r w:rsidR="003A3C73" w:rsidRPr="0058669A">
          <w:rPr>
            <w:rStyle w:val="Hyperlink"/>
          </w:rPr>
          <w:t>https://apastyle.apa.org/style-grammar-guidelines/references/examples</w:t>
        </w:r>
      </w:hyperlink>
    </w:p>
    <w:p w14:paraId="4AEE9861" w14:textId="77777777" w:rsidR="003A3C73" w:rsidRDefault="003A3C73" w:rsidP="00037F8B"/>
    <w:p w14:paraId="7B4B9B94" w14:textId="77777777" w:rsidR="006469E6" w:rsidRDefault="006469E6" w:rsidP="00037F8B"/>
    <w:p w14:paraId="624E59A0" w14:textId="77777777" w:rsidR="005E4B68" w:rsidRPr="005E4B68" w:rsidRDefault="005E4B68" w:rsidP="00037F8B">
      <w:pPr>
        <w:rPr>
          <w:b/>
        </w:rPr>
      </w:pPr>
      <w:r w:rsidRPr="005E4B68">
        <w:rPr>
          <w:b/>
        </w:rPr>
        <w:t>Book</w:t>
      </w:r>
    </w:p>
    <w:p w14:paraId="72D140B7" w14:textId="77777777" w:rsidR="005E4B68" w:rsidRDefault="005E4B68" w:rsidP="00037F8B"/>
    <w:p w14:paraId="60AC9468" w14:textId="77777777" w:rsidR="005E4B68" w:rsidRDefault="005E4B68" w:rsidP="005E4B68">
      <w:pPr>
        <w:spacing w:line="480" w:lineRule="auto"/>
        <w:rPr>
          <w:rFonts w:eastAsia="Times New Roman"/>
          <w:color w:val="000000"/>
          <w:lang w:eastAsia="en-CA"/>
        </w:rPr>
      </w:pPr>
      <w:r w:rsidRPr="00DC304C">
        <w:rPr>
          <w:rFonts w:eastAsia="Times New Roman"/>
          <w:color w:val="000000"/>
          <w:lang w:eastAsia="en-CA"/>
        </w:rPr>
        <w:t>Andrew</w:t>
      </w:r>
      <w:r>
        <w:rPr>
          <w:rFonts w:eastAsia="Times New Roman"/>
          <w:color w:val="000000"/>
          <w:lang w:eastAsia="en-CA"/>
        </w:rPr>
        <w:t>,</w:t>
      </w:r>
      <w:r w:rsidRPr="00DC304C">
        <w:rPr>
          <w:rFonts w:eastAsia="Times New Roman"/>
          <w:color w:val="000000"/>
          <w:lang w:eastAsia="en-CA"/>
        </w:rPr>
        <w:t xml:space="preserve"> S. (2017). </w:t>
      </w:r>
      <w:r w:rsidRPr="00DC304C">
        <w:rPr>
          <w:rFonts w:eastAsia="Times New Roman"/>
          <w:i/>
          <w:iCs/>
          <w:color w:val="000000"/>
          <w:lang w:eastAsia="en-CA"/>
        </w:rPr>
        <w:t>Searching for an autoethnographic ethic</w:t>
      </w:r>
      <w:r w:rsidRPr="00DC304C">
        <w:rPr>
          <w:rFonts w:eastAsia="Times New Roman"/>
          <w:color w:val="000000"/>
          <w:lang w:eastAsia="en-CA"/>
        </w:rPr>
        <w:t>. Routledge.</w:t>
      </w:r>
    </w:p>
    <w:p w14:paraId="5EE65FC1" w14:textId="77777777" w:rsidR="003A3C73" w:rsidRDefault="003A3C73" w:rsidP="003A3C73">
      <w:pPr>
        <w:rPr>
          <w:b/>
        </w:rPr>
      </w:pPr>
    </w:p>
    <w:p w14:paraId="51308CF4" w14:textId="3E909288" w:rsidR="00A36114" w:rsidRDefault="005E4B68" w:rsidP="003A3C73">
      <w:pPr>
        <w:rPr>
          <w:b/>
        </w:rPr>
      </w:pPr>
      <w:r w:rsidRPr="005E4B68">
        <w:rPr>
          <w:b/>
        </w:rPr>
        <w:t>Chapter in a book</w:t>
      </w:r>
    </w:p>
    <w:p w14:paraId="4B522F71" w14:textId="77777777" w:rsidR="003A3C73" w:rsidRDefault="003A3C73" w:rsidP="003A3C73">
      <w:pPr>
        <w:rPr>
          <w:b/>
        </w:rPr>
      </w:pPr>
    </w:p>
    <w:p w14:paraId="7BE36F37" w14:textId="4938F075" w:rsidR="00870973" w:rsidRDefault="00870973" w:rsidP="00A36114">
      <w:pPr>
        <w:spacing w:line="480" w:lineRule="auto"/>
        <w:ind w:left="629" w:hanging="629"/>
      </w:pPr>
      <w:r>
        <w:t xml:space="preserve">Poole, G., &amp; Simmons, N. (2013). The contributions of the scholarship of teaching and learning to quality enhancement in Canada. In G. Gordon &amp; R. Land (Eds.), </w:t>
      </w:r>
      <w:r>
        <w:rPr>
          <w:i/>
        </w:rPr>
        <w:t xml:space="preserve">Enhancing </w:t>
      </w:r>
      <w:r w:rsidR="003A3C73">
        <w:rPr>
          <w:i/>
        </w:rPr>
        <w:t>q</w:t>
      </w:r>
      <w:r>
        <w:rPr>
          <w:i/>
        </w:rPr>
        <w:t>uality in higher education: International perspectives</w:t>
      </w:r>
      <w:r>
        <w:t xml:space="preserve"> (pp. 118–128). Routledge. </w:t>
      </w:r>
    </w:p>
    <w:p w14:paraId="5F2E80B2" w14:textId="77777777" w:rsidR="00834029" w:rsidRDefault="00834029" w:rsidP="00037F8B">
      <w:pPr>
        <w:rPr>
          <w:b/>
        </w:rPr>
      </w:pPr>
    </w:p>
    <w:p w14:paraId="6B3E542F" w14:textId="2AF2D932" w:rsidR="00A36114" w:rsidRDefault="005E4B68" w:rsidP="003A3C73">
      <w:pPr>
        <w:rPr>
          <w:b/>
        </w:rPr>
      </w:pPr>
      <w:r w:rsidRPr="005E4B68">
        <w:rPr>
          <w:b/>
        </w:rPr>
        <w:t>Journal article</w:t>
      </w:r>
    </w:p>
    <w:p w14:paraId="41831028" w14:textId="77777777" w:rsidR="003A3C73" w:rsidRPr="003A3C73" w:rsidRDefault="003A3C73" w:rsidP="003A3C73">
      <w:pPr>
        <w:rPr>
          <w:b/>
        </w:rPr>
      </w:pPr>
    </w:p>
    <w:p w14:paraId="6B251DB3" w14:textId="77777777" w:rsidR="005E4B68" w:rsidRDefault="005E4B68" w:rsidP="005E4B68">
      <w:pPr>
        <w:spacing w:line="480" w:lineRule="auto"/>
        <w:ind w:left="720" w:hanging="720"/>
        <w:rPr>
          <w:color w:val="0000FF" w:themeColor="hyperlink"/>
          <w:u w:val="single"/>
        </w:rPr>
      </w:pPr>
      <w:r w:rsidRPr="0065737A">
        <w:t xml:space="preserve">Healey, M., Flint, A., &amp; Harrington, K. (2016). Students as partners: Reflections on a conceptual model. </w:t>
      </w:r>
      <w:r w:rsidRPr="0065737A">
        <w:rPr>
          <w:i/>
          <w:iCs/>
        </w:rPr>
        <w:t>Teaching &amp; Learning Inquiry</w:t>
      </w:r>
      <w:r w:rsidRPr="0065737A">
        <w:t xml:space="preserve">, </w:t>
      </w:r>
      <w:r w:rsidRPr="00376B46">
        <w:rPr>
          <w:i/>
          <w:iCs/>
        </w:rPr>
        <w:t>4</w:t>
      </w:r>
      <w:r w:rsidRPr="00376B46">
        <w:t>(2), 1</w:t>
      </w:r>
      <w:r>
        <w:t>–</w:t>
      </w:r>
      <w:r w:rsidRPr="00376B46">
        <w:t>13.</w:t>
      </w:r>
      <w:r w:rsidRPr="0065737A">
        <w:t xml:space="preserve"> </w:t>
      </w:r>
      <w:hyperlink r:id="rId7" w:history="1">
        <w:r w:rsidRPr="0065737A">
          <w:rPr>
            <w:color w:val="0000FF" w:themeColor="hyperlink"/>
            <w:u w:val="single"/>
          </w:rPr>
          <w:t>https://doi.org/10.20343/ teachlearninqu.4.2.3</w:t>
        </w:r>
      </w:hyperlink>
    </w:p>
    <w:p w14:paraId="22F80C8A" w14:textId="77777777" w:rsidR="00834029" w:rsidRDefault="00834029" w:rsidP="00834029"/>
    <w:p w14:paraId="2105C3C1" w14:textId="77777777" w:rsidR="00834029" w:rsidRPr="00834029" w:rsidRDefault="00834029" w:rsidP="00834029">
      <w:pPr>
        <w:rPr>
          <w:b/>
        </w:rPr>
      </w:pPr>
      <w:r w:rsidRPr="00834029">
        <w:rPr>
          <w:b/>
        </w:rPr>
        <w:t>Website</w:t>
      </w:r>
    </w:p>
    <w:p w14:paraId="753390BC" w14:textId="77777777" w:rsidR="00834029" w:rsidRDefault="00834029" w:rsidP="00834029"/>
    <w:p w14:paraId="56448364" w14:textId="77777777" w:rsidR="00834029" w:rsidRDefault="00834029" w:rsidP="00834029">
      <w:pPr>
        <w:pStyle w:val="EndNoteBibliography"/>
        <w:spacing w:after="0" w:line="480" w:lineRule="auto"/>
        <w:ind w:left="720" w:hanging="720"/>
        <w:rPr>
          <w:rStyle w:val="Hyperlink"/>
          <w:rFonts w:ascii="Times New Roman" w:hAnsi="Times New Roman" w:cs="Times New Roman"/>
          <w:sz w:val="24"/>
          <w:szCs w:val="24"/>
        </w:rPr>
      </w:pPr>
      <w:r w:rsidRPr="00E75C68">
        <w:rPr>
          <w:rFonts w:ascii="Times New Roman" w:hAnsi="Times New Roman" w:cs="Times New Roman"/>
          <w:sz w:val="24"/>
          <w:szCs w:val="24"/>
        </w:rPr>
        <w:t>Monks, J.</w:t>
      </w:r>
      <w:r>
        <w:rPr>
          <w:rFonts w:ascii="Times New Roman" w:hAnsi="Times New Roman" w:cs="Times New Roman"/>
          <w:sz w:val="24"/>
          <w:szCs w:val="24"/>
        </w:rPr>
        <w:t>,</w:t>
      </w:r>
      <w:r w:rsidRPr="00E75C68">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E75C68">
        <w:rPr>
          <w:rFonts w:ascii="Times New Roman" w:hAnsi="Times New Roman" w:cs="Times New Roman"/>
          <w:sz w:val="24"/>
          <w:szCs w:val="24"/>
        </w:rPr>
        <w:t>S</w:t>
      </w:r>
      <w:r>
        <w:rPr>
          <w:rFonts w:ascii="Times New Roman" w:hAnsi="Times New Roman" w:cs="Times New Roman"/>
          <w:sz w:val="24"/>
          <w:szCs w:val="24"/>
        </w:rPr>
        <w:t>chmidt</w:t>
      </w:r>
      <w:r w:rsidRPr="00E75C68">
        <w:rPr>
          <w:rFonts w:ascii="Times New Roman" w:hAnsi="Times New Roman" w:cs="Times New Roman"/>
          <w:sz w:val="24"/>
          <w:szCs w:val="24"/>
        </w:rPr>
        <w:t xml:space="preserve">, R. (2010). </w:t>
      </w:r>
      <w:r w:rsidRPr="00767192">
        <w:rPr>
          <w:rFonts w:ascii="Times New Roman" w:hAnsi="Times New Roman" w:cs="Times New Roman"/>
          <w:i/>
          <w:sz w:val="24"/>
          <w:szCs w:val="24"/>
        </w:rPr>
        <w:t>The impact of class size and number of students on outcomes in higher education</w:t>
      </w:r>
      <w:r w:rsidRPr="00E75C68">
        <w:rPr>
          <w:rFonts w:ascii="Times New Roman" w:hAnsi="Times New Roman" w:cs="Times New Roman"/>
          <w:sz w:val="24"/>
          <w:szCs w:val="24"/>
        </w:rPr>
        <w:t xml:space="preserve">. </w:t>
      </w:r>
      <w:r>
        <w:rPr>
          <w:rFonts w:ascii="Times New Roman" w:hAnsi="Times New Roman" w:cs="Times New Roman"/>
          <w:sz w:val="24"/>
          <w:szCs w:val="24"/>
        </w:rPr>
        <w:t xml:space="preserve">Cornell Higher Education Research Institute, Cornell University. </w:t>
      </w:r>
      <w:hyperlink r:id="rId8" w:history="1">
        <w:r w:rsidRPr="00E75C68">
          <w:rPr>
            <w:rStyle w:val="Hyperlink"/>
            <w:rFonts w:ascii="Times New Roman" w:hAnsi="Times New Roman" w:cs="Times New Roman"/>
            <w:sz w:val="24"/>
            <w:szCs w:val="24"/>
          </w:rPr>
          <w:t>https://digitalcommons.ilr.cornell.edu/workingpapers/114/</w:t>
        </w:r>
      </w:hyperlink>
    </w:p>
    <w:p w14:paraId="68A574E1" w14:textId="77777777" w:rsidR="00794218" w:rsidRPr="00E75C68" w:rsidRDefault="00794218" w:rsidP="00834029">
      <w:pPr>
        <w:pStyle w:val="EndNoteBibliography"/>
        <w:spacing w:after="0" w:line="480" w:lineRule="auto"/>
        <w:ind w:left="720" w:hanging="720"/>
        <w:rPr>
          <w:rFonts w:ascii="Times New Roman" w:hAnsi="Times New Roman" w:cs="Times New Roman"/>
          <w:sz w:val="24"/>
          <w:szCs w:val="24"/>
        </w:rPr>
      </w:pPr>
    </w:p>
    <w:p w14:paraId="1D71805A" w14:textId="77777777" w:rsidR="00834029" w:rsidRPr="00834029" w:rsidRDefault="00834029" w:rsidP="00834029"/>
    <w:p w14:paraId="2655BB30" w14:textId="77777777" w:rsidR="00834029" w:rsidRDefault="00834029" w:rsidP="005E4B68">
      <w:pPr>
        <w:spacing w:line="480" w:lineRule="auto"/>
        <w:ind w:left="720" w:hanging="720"/>
        <w:rPr>
          <w:color w:val="0000FF" w:themeColor="hyperlink"/>
          <w:u w:val="single"/>
        </w:rPr>
      </w:pPr>
    </w:p>
    <w:p w14:paraId="700681DC" w14:textId="77777777" w:rsidR="00037F8B" w:rsidRPr="00037F8B" w:rsidRDefault="00037F8B" w:rsidP="00037F8B">
      <w:pPr>
        <w:rPr>
          <w:b/>
        </w:rPr>
      </w:pPr>
    </w:p>
    <w:sectPr w:rsidR="00037F8B" w:rsidRPr="00037F8B" w:rsidSect="00456046">
      <w:pgSz w:w="12240" w:h="15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DE7"/>
    <w:multiLevelType w:val="hybridMultilevel"/>
    <w:tmpl w:val="0A188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21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8B"/>
    <w:rsid w:val="00037F8B"/>
    <w:rsid w:val="000D7C90"/>
    <w:rsid w:val="00123EC6"/>
    <w:rsid w:val="00155AD6"/>
    <w:rsid w:val="001814D5"/>
    <w:rsid w:val="001C0AFD"/>
    <w:rsid w:val="0039338F"/>
    <w:rsid w:val="003A3C73"/>
    <w:rsid w:val="003C1BC9"/>
    <w:rsid w:val="003F67A7"/>
    <w:rsid w:val="00456046"/>
    <w:rsid w:val="00457169"/>
    <w:rsid w:val="00511BD9"/>
    <w:rsid w:val="00535FB9"/>
    <w:rsid w:val="005E4B68"/>
    <w:rsid w:val="00617ABE"/>
    <w:rsid w:val="006239C0"/>
    <w:rsid w:val="006469E6"/>
    <w:rsid w:val="00672A5A"/>
    <w:rsid w:val="006A0F4C"/>
    <w:rsid w:val="006A7C61"/>
    <w:rsid w:val="00794218"/>
    <w:rsid w:val="007E3F12"/>
    <w:rsid w:val="00834029"/>
    <w:rsid w:val="00870973"/>
    <w:rsid w:val="008B6ED4"/>
    <w:rsid w:val="00925772"/>
    <w:rsid w:val="00967966"/>
    <w:rsid w:val="00A36114"/>
    <w:rsid w:val="00A81908"/>
    <w:rsid w:val="00A8480C"/>
    <w:rsid w:val="00A93534"/>
    <w:rsid w:val="00C00ADE"/>
    <w:rsid w:val="00C040AD"/>
    <w:rsid w:val="00C21E18"/>
    <w:rsid w:val="00D24425"/>
    <w:rsid w:val="00D35A69"/>
    <w:rsid w:val="00E46E96"/>
    <w:rsid w:val="00E832F6"/>
    <w:rsid w:val="00E93174"/>
    <w:rsid w:val="00EC2673"/>
    <w:rsid w:val="00F92B56"/>
    <w:rsid w:val="00FD2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1B5352"/>
  <w14:defaultImageDpi w14:val="300"/>
  <w15:docId w15:val="{DDB7EDE0-2A04-431C-B101-B503D74F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4D5"/>
    <w:pPr>
      <w:spacing w:before="100" w:beforeAutospacing="1" w:after="100" w:afterAutospacing="1"/>
    </w:pPr>
    <w:rPr>
      <w:rFonts w:ascii="Times" w:hAnsi="Times"/>
      <w:sz w:val="20"/>
      <w:szCs w:val="20"/>
      <w:lang w:val="en-CA"/>
    </w:rPr>
  </w:style>
  <w:style w:type="character" w:styleId="Emphasis">
    <w:name w:val="Emphasis"/>
    <w:basedOn w:val="DefaultParagraphFont"/>
    <w:uiPriority w:val="20"/>
    <w:qFormat/>
    <w:rsid w:val="001814D5"/>
    <w:rPr>
      <w:i/>
      <w:iCs/>
    </w:rPr>
  </w:style>
  <w:style w:type="character" w:styleId="Strong">
    <w:name w:val="Strong"/>
    <w:basedOn w:val="DefaultParagraphFont"/>
    <w:uiPriority w:val="22"/>
    <w:qFormat/>
    <w:rsid w:val="001814D5"/>
    <w:rPr>
      <w:b/>
      <w:bCs/>
    </w:rPr>
  </w:style>
  <w:style w:type="paragraph" w:customStyle="1" w:styleId="EndNoteBibliography">
    <w:name w:val="EndNote Bibliography"/>
    <w:basedOn w:val="Normal"/>
    <w:link w:val="EndNoteBibliographyChar"/>
    <w:rsid w:val="00834029"/>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834029"/>
    <w:rPr>
      <w:rFonts w:ascii="Calibri" w:eastAsiaTheme="minorHAnsi" w:hAnsi="Calibri" w:cs="Calibri"/>
      <w:noProof/>
      <w:sz w:val="22"/>
      <w:szCs w:val="22"/>
      <w:lang w:eastAsia="en-US"/>
    </w:rPr>
  </w:style>
  <w:style w:type="character" w:styleId="Hyperlink">
    <w:name w:val="Hyperlink"/>
    <w:basedOn w:val="DefaultParagraphFont"/>
    <w:uiPriority w:val="99"/>
    <w:unhideWhenUsed/>
    <w:rsid w:val="00834029"/>
    <w:rPr>
      <w:color w:val="0000FF" w:themeColor="hyperlink"/>
      <w:u w:val="single"/>
    </w:rPr>
  </w:style>
  <w:style w:type="character" w:styleId="FollowedHyperlink">
    <w:name w:val="FollowedHyperlink"/>
    <w:basedOn w:val="DefaultParagraphFont"/>
    <w:uiPriority w:val="99"/>
    <w:semiHidden/>
    <w:unhideWhenUsed/>
    <w:rsid w:val="00834029"/>
    <w:rPr>
      <w:color w:val="800080" w:themeColor="followedHyperlink"/>
      <w:u w:val="single"/>
    </w:rPr>
  </w:style>
  <w:style w:type="paragraph" w:customStyle="1" w:styleId="paragraph">
    <w:name w:val="paragraph"/>
    <w:basedOn w:val="Normal"/>
    <w:rsid w:val="007E3F12"/>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7E3F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F12"/>
    <w:rPr>
      <w:rFonts w:ascii="Lucida Grande" w:hAnsi="Lucida Grande" w:cs="Lucida Grande"/>
      <w:sz w:val="18"/>
      <w:szCs w:val="18"/>
      <w:lang w:eastAsia="en-US"/>
    </w:rPr>
  </w:style>
  <w:style w:type="table" w:styleId="TableGrid">
    <w:name w:val="Table Grid"/>
    <w:basedOn w:val="TableNormal"/>
    <w:uiPriority w:val="39"/>
    <w:rsid w:val="007E3F12"/>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908"/>
    <w:pPr>
      <w:ind w:left="720"/>
      <w:contextualSpacing/>
    </w:pPr>
  </w:style>
  <w:style w:type="character" w:styleId="CommentReference">
    <w:name w:val="annotation reference"/>
    <w:basedOn w:val="DefaultParagraphFont"/>
    <w:uiPriority w:val="99"/>
    <w:semiHidden/>
    <w:unhideWhenUsed/>
    <w:rsid w:val="00457169"/>
    <w:rPr>
      <w:sz w:val="16"/>
      <w:szCs w:val="16"/>
    </w:rPr>
  </w:style>
  <w:style w:type="paragraph" w:styleId="CommentText">
    <w:name w:val="annotation text"/>
    <w:basedOn w:val="Normal"/>
    <w:link w:val="CommentTextChar"/>
    <w:uiPriority w:val="99"/>
    <w:semiHidden/>
    <w:unhideWhenUsed/>
    <w:rsid w:val="00457169"/>
    <w:rPr>
      <w:sz w:val="20"/>
      <w:szCs w:val="20"/>
    </w:rPr>
  </w:style>
  <w:style w:type="character" w:customStyle="1" w:styleId="CommentTextChar">
    <w:name w:val="Comment Text Char"/>
    <w:basedOn w:val="DefaultParagraphFont"/>
    <w:link w:val="CommentText"/>
    <w:uiPriority w:val="99"/>
    <w:semiHidden/>
    <w:rsid w:val="00457169"/>
    <w:rPr>
      <w:lang w:eastAsia="en-US"/>
    </w:rPr>
  </w:style>
  <w:style w:type="paragraph" w:styleId="CommentSubject">
    <w:name w:val="annotation subject"/>
    <w:basedOn w:val="CommentText"/>
    <w:next w:val="CommentText"/>
    <w:link w:val="CommentSubjectChar"/>
    <w:uiPriority w:val="99"/>
    <w:semiHidden/>
    <w:unhideWhenUsed/>
    <w:rsid w:val="00457169"/>
    <w:rPr>
      <w:b/>
      <w:bCs/>
    </w:rPr>
  </w:style>
  <w:style w:type="character" w:customStyle="1" w:styleId="CommentSubjectChar">
    <w:name w:val="Comment Subject Char"/>
    <w:basedOn w:val="CommentTextChar"/>
    <w:link w:val="CommentSubject"/>
    <w:uiPriority w:val="99"/>
    <w:semiHidden/>
    <w:rsid w:val="004571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88500">
      <w:bodyDiv w:val="1"/>
      <w:marLeft w:val="0"/>
      <w:marRight w:val="0"/>
      <w:marTop w:val="0"/>
      <w:marBottom w:val="0"/>
      <w:divBdr>
        <w:top w:val="none" w:sz="0" w:space="0" w:color="auto"/>
        <w:left w:val="none" w:sz="0" w:space="0" w:color="auto"/>
        <w:bottom w:val="none" w:sz="0" w:space="0" w:color="auto"/>
        <w:right w:val="none" w:sz="0" w:space="0" w:color="auto"/>
      </w:divBdr>
    </w:div>
    <w:div w:id="1852599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ilr.cornell.edu/workingpapers/114/" TargetMode="External"/><Relationship Id="rId3" Type="http://schemas.openxmlformats.org/officeDocument/2006/relationships/settings" Target="settings.xml"/><Relationship Id="rId7" Type="http://schemas.openxmlformats.org/officeDocument/2006/relationships/hyperlink" Target="https://doi.org/10.20343/teachlearninqu.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style.apa.org/style-grammar-guidelines/references/exampl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Waldie</dc:creator>
  <cp:keywords/>
  <dc:description/>
  <cp:lastModifiedBy>Michelle Yeo</cp:lastModifiedBy>
  <cp:revision>2</cp:revision>
  <cp:lastPrinted>2021-05-22T00:55:00Z</cp:lastPrinted>
  <dcterms:created xsi:type="dcterms:W3CDTF">2024-02-27T22:18:00Z</dcterms:created>
  <dcterms:modified xsi:type="dcterms:W3CDTF">2024-02-27T22:18:00Z</dcterms:modified>
</cp:coreProperties>
</file>